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27FE8">
      <w:pPr>
        <w:pStyle w:val="17"/>
        <w:ind w:left="0" w:leftChars="0" w:firstLine="0" w:firstLineChars="0"/>
        <w:rPr>
          <w:rFonts w:hint="eastAsia"/>
          <w:sz w:val="52"/>
          <w:szCs w:val="72"/>
          <w:highlight w:val="none"/>
          <w:lang w:val="en-US" w:eastAsia="zh-CN"/>
        </w:rPr>
      </w:pPr>
    </w:p>
    <w:p w14:paraId="271B3619">
      <w:pPr>
        <w:spacing w:line="360" w:lineRule="auto"/>
        <w:ind w:firstLine="0" w:firstLineChars="0"/>
        <w:jc w:val="center"/>
        <w:rPr>
          <w:rFonts w:hint="eastAsia" w:ascii="方正小标宋_GBK" w:hAnsi="方正小标宋_GBK" w:eastAsia="方正小标宋_GBK" w:cs="方正小标宋_GBK"/>
          <w:b w:val="0"/>
          <w:bCs/>
          <w:sz w:val="40"/>
          <w:szCs w:val="40"/>
          <w:highlight w:val="none"/>
          <w:u w:val="none"/>
          <w:lang w:val="en-US" w:eastAsia="zh-CN"/>
        </w:rPr>
      </w:pPr>
      <w:bookmarkStart w:id="4" w:name="_GoBack"/>
      <w:r>
        <w:rPr>
          <w:rFonts w:hint="eastAsia" w:ascii="方正小标宋_GBK" w:hAnsi="方正小标宋_GBK" w:eastAsia="方正小标宋_GBK" w:cs="方正小标宋_GBK"/>
          <w:b w:val="0"/>
          <w:bCs/>
          <w:sz w:val="40"/>
          <w:szCs w:val="40"/>
          <w:highlight w:val="none"/>
          <w:u w:val="none"/>
          <w:lang w:val="en-US" w:eastAsia="zh-CN"/>
        </w:rPr>
        <w:t>衡阳国投员工食堂劳务承包服务单位比选</w:t>
      </w:r>
    </w:p>
    <w:bookmarkEnd w:id="4"/>
    <w:p w14:paraId="13A62B67">
      <w:pPr>
        <w:spacing w:line="360" w:lineRule="auto"/>
        <w:ind w:firstLine="1120" w:firstLineChars="200"/>
        <w:jc w:val="both"/>
        <w:rPr>
          <w:rFonts w:hint="default" w:ascii="方正小标宋_GBK" w:hAnsi="方正小标宋_GBK" w:eastAsia="方正小标宋_GBK" w:cs="方正小标宋_GBK"/>
          <w:b w:val="0"/>
          <w:bCs/>
          <w:sz w:val="56"/>
          <w:szCs w:val="56"/>
          <w:highlight w:val="none"/>
          <w:lang w:val="en-US" w:eastAsia="zh-CN"/>
        </w:rPr>
      </w:pPr>
    </w:p>
    <w:p w14:paraId="43DBBD1A">
      <w:pPr>
        <w:pStyle w:val="12"/>
        <w:ind w:left="0" w:leftChars="0" w:firstLine="0" w:firstLineChars="0"/>
        <w:rPr>
          <w:sz w:val="36"/>
          <w:szCs w:val="36"/>
          <w:highlight w:val="none"/>
        </w:rPr>
      </w:pPr>
    </w:p>
    <w:p w14:paraId="339C0C26">
      <w:pPr>
        <w:pStyle w:val="10"/>
        <w:rPr>
          <w:rFonts w:hint="eastAsia"/>
          <w:highlight w:val="none"/>
        </w:rPr>
      </w:pPr>
    </w:p>
    <w:p w14:paraId="6F8C4BDA">
      <w:pPr>
        <w:pStyle w:val="9"/>
        <w:spacing w:line="480" w:lineRule="exact"/>
        <w:ind w:left="0" w:leftChars="0"/>
        <w:jc w:val="center"/>
        <w:rPr>
          <w:rFonts w:hint="eastAsia" w:ascii="方正小标宋_GBK" w:hAnsi="方正小标宋_GBK" w:eastAsia="方正小标宋_GBK" w:cs="方正小标宋_GBK"/>
          <w:b/>
          <w:sz w:val="48"/>
          <w:szCs w:val="48"/>
          <w:highlight w:val="none"/>
        </w:rPr>
      </w:pPr>
    </w:p>
    <w:p w14:paraId="4682A83A">
      <w:pPr>
        <w:pStyle w:val="10"/>
        <w:rPr>
          <w:rFonts w:hint="eastAsia"/>
          <w:highlight w:val="none"/>
        </w:rPr>
      </w:pPr>
    </w:p>
    <w:p w14:paraId="7CC64B67">
      <w:pPr>
        <w:pStyle w:val="9"/>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14:paraId="46D62B63">
      <w:pPr>
        <w:pStyle w:val="12"/>
        <w:ind w:firstLine="964"/>
        <w:rPr>
          <w:rFonts w:hint="eastAsia" w:ascii="方正小标宋_GBK" w:hAnsi="方正小标宋_GBK" w:eastAsia="方正小标宋_GBK" w:cs="方正小标宋_GBK"/>
          <w:b/>
          <w:color w:val="auto"/>
          <w:kern w:val="2"/>
          <w:sz w:val="48"/>
          <w:szCs w:val="48"/>
          <w:highlight w:val="none"/>
        </w:rPr>
      </w:pPr>
    </w:p>
    <w:p w14:paraId="5F76CDA5">
      <w:pPr>
        <w:pStyle w:val="9"/>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14:paraId="101D21B0">
      <w:pPr>
        <w:pStyle w:val="12"/>
        <w:ind w:firstLine="964"/>
        <w:rPr>
          <w:rFonts w:hint="eastAsia" w:ascii="方正小标宋_GBK" w:hAnsi="方正小标宋_GBK" w:eastAsia="方正小标宋_GBK" w:cs="方正小标宋_GBK"/>
          <w:b/>
          <w:color w:val="auto"/>
          <w:kern w:val="2"/>
          <w:sz w:val="48"/>
          <w:szCs w:val="48"/>
          <w:highlight w:val="none"/>
        </w:rPr>
      </w:pPr>
    </w:p>
    <w:p w14:paraId="44F32630">
      <w:pPr>
        <w:pStyle w:val="9"/>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14:paraId="1548C611">
      <w:pPr>
        <w:pStyle w:val="12"/>
        <w:ind w:firstLine="964"/>
        <w:rPr>
          <w:rFonts w:hint="eastAsia" w:ascii="方正小标宋_GBK" w:hAnsi="方正小标宋_GBK" w:eastAsia="方正小标宋_GBK" w:cs="方正小标宋_GBK"/>
          <w:b/>
          <w:color w:val="auto"/>
          <w:kern w:val="2"/>
          <w:sz w:val="48"/>
          <w:szCs w:val="48"/>
          <w:highlight w:val="none"/>
        </w:rPr>
      </w:pPr>
    </w:p>
    <w:p w14:paraId="7D8483EA">
      <w:pPr>
        <w:pStyle w:val="9"/>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14:paraId="0F678CB1">
      <w:pPr>
        <w:pStyle w:val="9"/>
        <w:spacing w:line="480" w:lineRule="exact"/>
        <w:ind w:left="0" w:leftChars="0"/>
        <w:jc w:val="center"/>
        <w:rPr>
          <w:rFonts w:ascii="华文中宋" w:hAnsi="华文中宋" w:eastAsia="华文中宋"/>
          <w:b/>
          <w:sz w:val="52"/>
          <w:szCs w:val="52"/>
          <w:highlight w:val="none"/>
        </w:rPr>
      </w:pPr>
    </w:p>
    <w:p w14:paraId="48A0A1FA">
      <w:pPr>
        <w:pStyle w:val="12"/>
        <w:ind w:firstLine="0" w:firstLineChars="0"/>
        <w:rPr>
          <w:highlight w:val="none"/>
        </w:rPr>
      </w:pPr>
    </w:p>
    <w:p w14:paraId="32B0CB75">
      <w:pPr>
        <w:pStyle w:val="9"/>
        <w:adjustRightInd w:val="0"/>
        <w:snapToGrid w:val="0"/>
        <w:spacing w:before="156" w:beforeLines="50" w:line="480" w:lineRule="exact"/>
        <w:ind w:left="0" w:leftChars="0" w:firstLine="0" w:firstLineChars="0"/>
        <w:jc w:val="both"/>
        <w:rPr>
          <w:rFonts w:hint="eastAsia" w:ascii="宋体" w:hAnsi="宋体" w:cs="宋体"/>
          <w:b/>
          <w:sz w:val="40"/>
          <w:szCs w:val="32"/>
          <w:highlight w:val="none"/>
          <w:lang w:val="en-US" w:eastAsia="zh-CN"/>
        </w:rPr>
      </w:pPr>
    </w:p>
    <w:p w14:paraId="1907DA97">
      <w:pPr>
        <w:pStyle w:val="9"/>
        <w:adjustRightInd w:val="0"/>
        <w:snapToGrid w:val="0"/>
        <w:spacing w:before="156" w:beforeLines="50" w:line="480" w:lineRule="exact"/>
        <w:ind w:left="0" w:leftChars="0" w:firstLine="0" w:firstLineChars="0"/>
        <w:jc w:val="center"/>
        <w:rPr>
          <w:rFonts w:hint="eastAsia" w:ascii="方正小标宋_GBK" w:hAnsi="方正小标宋_GBK" w:eastAsia="方正小标宋_GBK" w:cs="方正小标宋_GBK"/>
          <w:b w:val="0"/>
          <w:bCs/>
          <w:sz w:val="40"/>
          <w:szCs w:val="32"/>
          <w:highlight w:val="none"/>
        </w:rPr>
      </w:pPr>
      <w:r>
        <w:rPr>
          <w:rFonts w:hint="eastAsia" w:ascii="方正小标宋_GBK" w:hAnsi="方正小标宋_GBK" w:eastAsia="方正小标宋_GBK" w:cs="方正小标宋_GBK"/>
          <w:b w:val="0"/>
          <w:bCs/>
          <w:sz w:val="40"/>
          <w:szCs w:val="32"/>
          <w:highlight w:val="none"/>
          <w:u w:val="none"/>
          <w:lang w:val="en-US" w:eastAsia="zh-CN"/>
        </w:rPr>
        <w:t>衡阳市国有资产投资控股集团有限公司</w:t>
      </w:r>
    </w:p>
    <w:p w14:paraId="2DE0792E">
      <w:pPr>
        <w:pStyle w:val="9"/>
        <w:adjustRightInd w:val="0"/>
        <w:snapToGrid w:val="0"/>
        <w:spacing w:line="480" w:lineRule="exact"/>
        <w:ind w:left="0" w:leftChars="0"/>
        <w:jc w:val="center"/>
        <w:rPr>
          <w:rFonts w:hint="eastAsia" w:ascii="方正小标宋_GBK" w:hAnsi="方正小标宋_GBK" w:eastAsia="方正小标宋_GBK" w:cs="方正小标宋_GBK"/>
          <w:b w:val="0"/>
          <w:bCs/>
          <w:sz w:val="40"/>
          <w:szCs w:val="32"/>
          <w:highlight w:val="none"/>
        </w:rPr>
      </w:pPr>
    </w:p>
    <w:p w14:paraId="780AC48D">
      <w:pPr>
        <w:pStyle w:val="9"/>
        <w:adjustRightInd w:val="0"/>
        <w:snapToGrid w:val="0"/>
        <w:spacing w:line="480" w:lineRule="exact"/>
        <w:ind w:left="0" w:leftChars="0"/>
        <w:jc w:val="center"/>
        <w:rPr>
          <w:rFonts w:hint="eastAsia" w:ascii="方正小标宋_GBK" w:hAnsi="方正小标宋_GBK" w:eastAsia="方正小标宋_GBK" w:cs="方正小标宋_GBK"/>
          <w:b w:val="0"/>
          <w:bCs/>
          <w:sz w:val="40"/>
          <w:szCs w:val="32"/>
          <w:highlight w:val="none"/>
        </w:rPr>
      </w:pPr>
      <w:r>
        <w:rPr>
          <w:rFonts w:hint="eastAsia" w:ascii="方正小标宋_GBK" w:hAnsi="方正小标宋_GBK" w:eastAsia="方正小标宋_GBK" w:cs="方正小标宋_GBK"/>
          <w:b w:val="0"/>
          <w:bCs/>
          <w:sz w:val="40"/>
          <w:szCs w:val="32"/>
          <w:highlight w:val="none"/>
        </w:rPr>
        <w:t>二〇二</w:t>
      </w:r>
      <w:r>
        <w:rPr>
          <w:rFonts w:hint="eastAsia" w:ascii="方正小标宋_GBK" w:hAnsi="方正小标宋_GBK" w:eastAsia="方正小标宋_GBK" w:cs="方正小标宋_GBK"/>
          <w:b w:val="0"/>
          <w:bCs/>
          <w:sz w:val="40"/>
          <w:szCs w:val="32"/>
          <w:highlight w:val="none"/>
          <w:lang w:val="en-US" w:eastAsia="zh-CN"/>
        </w:rPr>
        <w:t>五</w:t>
      </w:r>
      <w:r>
        <w:rPr>
          <w:rFonts w:hint="eastAsia" w:ascii="方正小标宋_GBK" w:hAnsi="方正小标宋_GBK" w:eastAsia="方正小标宋_GBK" w:cs="方正小标宋_GBK"/>
          <w:b w:val="0"/>
          <w:bCs/>
          <w:sz w:val="40"/>
          <w:szCs w:val="32"/>
          <w:highlight w:val="none"/>
        </w:rPr>
        <w:t>年</w:t>
      </w:r>
      <w:r>
        <w:rPr>
          <w:rFonts w:hint="eastAsia" w:ascii="方正小标宋_GBK" w:hAnsi="方正小标宋_GBK" w:eastAsia="方正小标宋_GBK" w:cs="方正小标宋_GBK"/>
          <w:b w:val="0"/>
          <w:bCs/>
          <w:sz w:val="40"/>
          <w:szCs w:val="32"/>
          <w:highlight w:val="none"/>
          <w:u w:val="none"/>
          <w:lang w:val="en-US" w:eastAsia="zh-CN"/>
        </w:rPr>
        <w:t>十二</w:t>
      </w:r>
      <w:r>
        <w:rPr>
          <w:rFonts w:hint="eastAsia" w:ascii="方正小标宋_GBK" w:hAnsi="方正小标宋_GBK" w:eastAsia="方正小标宋_GBK" w:cs="方正小标宋_GBK"/>
          <w:b w:val="0"/>
          <w:bCs/>
          <w:sz w:val="40"/>
          <w:szCs w:val="32"/>
          <w:highlight w:val="none"/>
        </w:rPr>
        <w:t>月</w:t>
      </w:r>
    </w:p>
    <w:p w14:paraId="6503EF32">
      <w:pPr>
        <w:bidi w:val="0"/>
        <w:rPr>
          <w:rFonts w:hint="eastAsia"/>
          <w:highlight w:val="none"/>
        </w:rPr>
      </w:pPr>
    </w:p>
    <w:p w14:paraId="4F6A88BC">
      <w:pPr>
        <w:tabs>
          <w:tab w:val="center" w:pos="4153"/>
        </w:tabs>
        <w:bidi w:val="0"/>
        <w:jc w:val="left"/>
        <w:rPr>
          <w:rFonts w:hint="eastAsia" w:eastAsia="宋体"/>
          <w:highlight w:val="none"/>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start="1"/>
          <w:cols w:space="720" w:num="1"/>
          <w:titlePg/>
          <w:docGrid w:type="lines" w:linePitch="312" w:charSpace="0"/>
        </w:sectPr>
      </w:pPr>
    </w:p>
    <w:p w14:paraId="634F38A5">
      <w:pPr>
        <w:pStyle w:val="11"/>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14:paraId="1554C33A">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hint="eastAsia" w:ascii="宋体" w:hAnsi="宋体" w:eastAsia="宋体"/>
          <w:b/>
          <w:bCs/>
          <w:color w:val="auto"/>
          <w:sz w:val="24"/>
          <w:highlight w:val="none"/>
          <w:lang w:val="en-US" w:eastAsia="zh-CN"/>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lang w:val="en-US" w:eastAsia="zh-CN"/>
        </w:rPr>
        <w:t>3</w:t>
      </w:r>
    </w:p>
    <w:p w14:paraId="060E077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eastAsia"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6</w:t>
      </w:r>
    </w:p>
    <w:p w14:paraId="68C10CE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12</w:t>
      </w:r>
    </w:p>
    <w:p w14:paraId="26306D3A">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评标办法（综合评分法）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21</w:t>
      </w:r>
    </w:p>
    <w:p w14:paraId="521ED113">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left"/>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五</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合同条款及格式</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25</w:t>
      </w:r>
    </w:p>
    <w:p w14:paraId="6AB56CC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14:paraId="1A8E9D7F">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93726EF">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2453048">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35410FD">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65FF42E3">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0B5839F">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792F1C2">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1AE516B0">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641E9EC">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7EF02828">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62386962">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0B86071B">
      <w:pPr>
        <w:pStyle w:val="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342EB26">
      <w:pPr>
        <w:keepNext w:val="0"/>
        <w:keepLines w:val="0"/>
        <w:pageBreakBefore w:val="0"/>
        <w:kinsoku/>
        <w:wordWrap/>
        <w:overflowPunct/>
        <w:topLinePunct w:val="0"/>
        <w:autoSpaceDE/>
        <w:autoSpaceDN/>
        <w:bidi w:val="0"/>
        <w:spacing w:line="480" w:lineRule="exact"/>
        <w:rPr>
          <w:color w:val="auto"/>
          <w:highlight w:val="none"/>
        </w:rPr>
      </w:pPr>
    </w:p>
    <w:p w14:paraId="414E23F9">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42DFFED9">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594707C8">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0CD8F6E3">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0922C88A">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6F77C9C8">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CD94E83">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9664693">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pPr>
    </w:p>
    <w:p w14:paraId="024B6307">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pPr>
    </w:p>
    <w:p w14:paraId="5A3C9E34">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Style w:val="21"/>
          <w:rFonts w:hint="eastAsia" w:ascii="黑体" w:hAnsi="黑体" w:eastAsia="黑体" w:cs="黑体"/>
          <w:color w:val="auto"/>
          <w:sz w:val="32"/>
          <w:szCs w:val="32"/>
          <w:highlight w:val="none"/>
          <w:shd w:val="clear" w:color="auto" w:fill="FFFFFF"/>
          <w:lang w:val="en-US" w:eastAsia="zh-CN"/>
        </w:rPr>
      </w:pPr>
      <w:r>
        <w:rPr>
          <w:rFonts w:hint="eastAsia" w:ascii="Calibri" w:hAnsi="Calibri" w:eastAsia="方正小标宋简体" w:cs="Times New Roman"/>
          <w:bCs/>
          <w:kern w:val="44"/>
          <w:sz w:val="44"/>
          <w:szCs w:val="44"/>
          <w:highlight w:val="none"/>
          <w:lang w:val="en-US" w:eastAsia="zh-CN" w:bidi="ar-SA"/>
        </w:rPr>
        <w:t>第一章  比选公告</w:t>
      </w:r>
    </w:p>
    <w:p w14:paraId="3BCCE456">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Style w:val="21"/>
          <w:rFonts w:hint="eastAsia" w:ascii="黑体" w:hAnsi="黑体" w:eastAsia="黑体" w:cs="黑体"/>
          <w:b w:val="0"/>
          <w:bCs w:val="0"/>
          <w:color w:val="auto"/>
          <w:sz w:val="32"/>
          <w:szCs w:val="32"/>
          <w:highlight w:val="none"/>
          <w:shd w:val="clear" w:color="auto" w:fill="FFFFFF"/>
          <w:lang w:val="en-US" w:eastAsia="zh-CN"/>
        </w:rPr>
      </w:pPr>
    </w:p>
    <w:p w14:paraId="7FB20F12">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640" w:firstLineChars="200"/>
        <w:jc w:val="left"/>
        <w:rPr>
          <w:rStyle w:val="21"/>
          <w:rFonts w:hint="eastAsia" w:ascii="黑体" w:hAnsi="黑体" w:eastAsia="黑体" w:cs="黑体"/>
          <w:b w:val="0"/>
          <w:bCs w:val="0"/>
          <w:color w:val="auto"/>
          <w:sz w:val="32"/>
          <w:szCs w:val="32"/>
          <w:highlight w:val="none"/>
          <w:shd w:val="clear" w:color="auto" w:fill="FFFFFF"/>
          <w:lang w:val="en-US" w:eastAsia="zh-CN"/>
        </w:rPr>
      </w:pPr>
      <w:r>
        <w:rPr>
          <w:rStyle w:val="21"/>
          <w:rFonts w:hint="eastAsia" w:ascii="黑体" w:hAnsi="黑体" w:eastAsia="黑体" w:cs="黑体"/>
          <w:b w:val="0"/>
          <w:bCs w:val="0"/>
          <w:color w:val="auto"/>
          <w:sz w:val="32"/>
          <w:szCs w:val="32"/>
          <w:highlight w:val="none"/>
          <w:shd w:val="clear" w:color="auto" w:fill="FFFFFF"/>
          <w:lang w:val="en-US" w:eastAsia="zh-CN"/>
        </w:rPr>
        <w:t>一、</w:t>
      </w:r>
      <w:r>
        <w:rPr>
          <w:rStyle w:val="21"/>
          <w:rFonts w:hint="eastAsia" w:ascii="黑体" w:hAnsi="黑体" w:eastAsia="黑体" w:cs="黑体"/>
          <w:b w:val="0"/>
          <w:bCs w:val="0"/>
          <w:color w:val="auto"/>
          <w:sz w:val="32"/>
          <w:szCs w:val="32"/>
          <w:highlight w:val="none"/>
          <w:shd w:val="clear" w:color="auto" w:fill="FFFFFF"/>
        </w:rPr>
        <w:t>项目概况</w:t>
      </w:r>
      <w:r>
        <w:rPr>
          <w:rStyle w:val="21"/>
          <w:rFonts w:hint="eastAsia" w:ascii="黑体" w:hAnsi="黑体" w:eastAsia="黑体" w:cs="黑体"/>
          <w:b w:val="0"/>
          <w:bCs w:val="0"/>
          <w:color w:val="auto"/>
          <w:sz w:val="32"/>
          <w:szCs w:val="32"/>
          <w:highlight w:val="none"/>
          <w:shd w:val="clear" w:color="auto" w:fill="FFFFFF"/>
          <w:lang w:val="en-US" w:eastAsia="zh-CN"/>
        </w:rPr>
        <w:t>与服务范围</w:t>
      </w:r>
    </w:p>
    <w:p w14:paraId="1ED31672">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1.项目名称：衡阳国投集团员工食堂劳务承包服务单位比选</w:t>
      </w:r>
    </w:p>
    <w:p w14:paraId="7A3D8E42">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2.项目地点：衡阳市国有资产投资控股集团有限公司</w:t>
      </w:r>
    </w:p>
    <w:p w14:paraId="04E7D00D">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3.项目概况：为做好食堂服务工作，保证食堂正常运行，比选人拟将食堂劳务外包（不含食材和物资采购），具体工作内容如下：</w:t>
      </w:r>
    </w:p>
    <w:p w14:paraId="0E0465B9">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（1）比选人员工食堂国家法定工作日的早餐、中餐供应及加班餐（晚餐和工作日以外的用餐）供应；</w:t>
      </w:r>
    </w:p>
    <w:p w14:paraId="73FA4ED1">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（2）比选人食堂区域的环境卫生、食品卫生及安全管理；</w:t>
      </w:r>
    </w:p>
    <w:p w14:paraId="2EA0AAEA">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（3）根据比选人需要临时性安排的相关工作。</w:t>
      </w:r>
    </w:p>
    <w:p w14:paraId="46453768">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4.服务期限：2026年1月1日至2026年12月31日，共1年。</w:t>
      </w:r>
    </w:p>
    <w:p w14:paraId="78EB306D">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5.服务范围：保障衡阳国投集团员工食堂就餐人员（目前就餐人数380人）国家法定工作日的早餐、中餐及加班餐（晚餐和工作日以外的用餐）等。</w:t>
      </w:r>
    </w:p>
    <w:p w14:paraId="4BF2F1F0">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640" w:firstLineChars="200"/>
        <w:jc w:val="left"/>
        <w:rPr>
          <w:rStyle w:val="21"/>
          <w:rFonts w:hint="default" w:ascii="黑体" w:hAnsi="黑体" w:eastAsia="黑体" w:cs="黑体"/>
          <w:b w:val="0"/>
          <w:bCs w:val="0"/>
          <w:color w:val="auto"/>
          <w:sz w:val="32"/>
          <w:szCs w:val="32"/>
          <w:highlight w:val="none"/>
          <w:shd w:val="clear" w:color="auto" w:fill="FFFFFF"/>
          <w:lang w:val="en-US" w:eastAsia="zh-CN"/>
        </w:rPr>
      </w:pPr>
      <w:r>
        <w:rPr>
          <w:rStyle w:val="21"/>
          <w:rFonts w:hint="eastAsia" w:ascii="黑体" w:hAnsi="黑体" w:eastAsia="黑体" w:cs="黑体"/>
          <w:b w:val="0"/>
          <w:bCs w:val="0"/>
          <w:color w:val="auto"/>
          <w:sz w:val="32"/>
          <w:szCs w:val="32"/>
          <w:highlight w:val="none"/>
          <w:shd w:val="clear" w:color="auto" w:fill="FFFFFF"/>
          <w:lang w:val="en-US" w:eastAsia="zh-CN"/>
        </w:rPr>
        <w:t>二、最高投标限价</w:t>
      </w:r>
    </w:p>
    <w:p w14:paraId="26164442">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480" w:lineRule="exact"/>
        <w:ind w:right="0" w:firstLine="560" w:firstLineChars="200"/>
        <w:jc w:val="both"/>
        <w:textAlignment w:val="baseline"/>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本项目最高投标限价</w:t>
      </w:r>
      <w:r>
        <w:rPr>
          <w:rFonts w:hint="eastAsia" w:ascii="仿宋" w:hAnsi="仿宋" w:eastAsia="仿宋" w:cs="仿宋"/>
          <w:spacing w:val="0"/>
          <w:kern w:val="2"/>
          <w:position w:val="0"/>
          <w:sz w:val="28"/>
          <w:szCs w:val="28"/>
          <w:highlight w:val="none"/>
          <w:lang w:val="en-US" w:eastAsia="zh-CN" w:bidi="ar-SA"/>
        </w:rPr>
        <w:t>为735601.32</w:t>
      </w:r>
      <w:r>
        <w:rPr>
          <w:rFonts w:hint="eastAsia" w:ascii="仿宋" w:hAnsi="仿宋" w:eastAsia="仿宋" w:cs="仿宋"/>
          <w:spacing w:val="0"/>
          <w:kern w:val="2"/>
          <w:position w:val="0"/>
          <w:sz w:val="28"/>
          <w:szCs w:val="28"/>
          <w:highlight w:val="none"/>
          <w:u w:val="none"/>
          <w:lang w:val="en-US" w:eastAsia="zh-CN" w:bidi="ar-SA"/>
        </w:rPr>
        <w:t>元。</w:t>
      </w:r>
    </w:p>
    <w:p w14:paraId="325CBC58">
      <w:pPr>
        <w:keepNext w:val="0"/>
        <w:keepLines w:val="0"/>
        <w:pageBreakBefore w:val="0"/>
        <w:kinsoku/>
        <w:wordWrap/>
        <w:overflowPunct/>
        <w:topLinePunct w:val="0"/>
        <w:autoSpaceDE/>
        <w:autoSpaceDN/>
        <w:bidi w:val="0"/>
        <w:adjustRightInd w:val="0"/>
        <w:snapToGrid w:val="0"/>
        <w:spacing w:line="480" w:lineRule="exact"/>
        <w:ind w:firstLine="640" w:firstLineChars="200"/>
        <w:jc w:val="left"/>
        <w:rPr>
          <w:rStyle w:val="21"/>
          <w:rFonts w:hint="eastAsia" w:ascii="黑体" w:hAnsi="黑体" w:eastAsia="黑体" w:cs="黑体"/>
          <w:b w:val="0"/>
          <w:bCs w:val="0"/>
          <w:color w:val="auto"/>
          <w:sz w:val="32"/>
          <w:szCs w:val="32"/>
          <w:highlight w:val="none"/>
          <w:shd w:val="clear" w:color="auto" w:fill="FFFFFF"/>
          <w:lang w:eastAsia="zh-CN"/>
        </w:rPr>
      </w:pPr>
      <w:r>
        <w:rPr>
          <w:rStyle w:val="21"/>
          <w:rFonts w:hint="eastAsia" w:ascii="黑体" w:hAnsi="黑体" w:eastAsia="黑体" w:cs="黑体"/>
          <w:b w:val="0"/>
          <w:bCs w:val="0"/>
          <w:color w:val="auto"/>
          <w:sz w:val="32"/>
          <w:szCs w:val="32"/>
          <w:highlight w:val="none"/>
          <w:shd w:val="clear" w:color="auto" w:fill="FFFFFF"/>
          <w:lang w:val="en-US" w:eastAsia="zh-CN"/>
        </w:rPr>
        <w:t>三、</w:t>
      </w:r>
      <w:r>
        <w:rPr>
          <w:rStyle w:val="21"/>
          <w:rFonts w:hint="eastAsia" w:ascii="黑体" w:hAnsi="黑体" w:eastAsia="黑体" w:cs="黑体"/>
          <w:b w:val="0"/>
          <w:bCs w:val="0"/>
          <w:color w:val="auto"/>
          <w:sz w:val="32"/>
          <w:szCs w:val="32"/>
          <w:highlight w:val="none"/>
          <w:shd w:val="clear" w:color="auto" w:fill="FFFFFF"/>
        </w:rPr>
        <w:t>资</w:t>
      </w:r>
      <w:r>
        <w:rPr>
          <w:rStyle w:val="21"/>
          <w:rFonts w:hint="eastAsia" w:ascii="黑体" w:hAnsi="黑体" w:eastAsia="黑体" w:cs="黑体"/>
          <w:b w:val="0"/>
          <w:bCs w:val="0"/>
          <w:color w:val="auto"/>
          <w:sz w:val="32"/>
          <w:szCs w:val="32"/>
          <w:highlight w:val="none"/>
          <w:shd w:val="clear" w:color="auto" w:fill="FFFFFF"/>
          <w:lang w:val="en-US" w:eastAsia="zh-CN"/>
        </w:rPr>
        <w:t>格</w:t>
      </w:r>
      <w:r>
        <w:rPr>
          <w:rStyle w:val="21"/>
          <w:rFonts w:hint="eastAsia" w:ascii="黑体" w:hAnsi="黑体" w:eastAsia="黑体" w:cs="黑体"/>
          <w:b w:val="0"/>
          <w:bCs w:val="0"/>
          <w:color w:val="auto"/>
          <w:sz w:val="32"/>
          <w:szCs w:val="32"/>
          <w:highlight w:val="none"/>
          <w:shd w:val="clear" w:color="auto" w:fill="FFFFFF"/>
        </w:rPr>
        <w:t>要求</w:t>
      </w:r>
    </w:p>
    <w:p w14:paraId="0A3D746D">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1.具有独立法人资格并依法取得营业执照，营业执照处于有效期。</w:t>
      </w:r>
    </w:p>
    <w:p w14:paraId="01F104DD">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spacing w:val="0"/>
          <w:position w:val="0"/>
          <w:sz w:val="28"/>
          <w:szCs w:val="28"/>
          <w:highlight w:val="none"/>
          <w:lang w:val="en-US" w:eastAsia="zh-CN"/>
        </w:rPr>
      </w:pPr>
      <w:r>
        <w:rPr>
          <w:rFonts w:hint="eastAsia" w:ascii="仿宋" w:hAnsi="仿宋" w:eastAsia="仿宋" w:cs="仿宋"/>
          <w:b w:val="0"/>
          <w:bCs w:val="0"/>
          <w:spacing w:val="0"/>
          <w:kern w:val="2"/>
          <w:position w:val="0"/>
          <w:sz w:val="28"/>
          <w:szCs w:val="28"/>
          <w:highlight w:val="none"/>
          <w:lang w:val="en-US" w:eastAsia="zh-CN" w:bidi="ar-SA"/>
        </w:rPr>
        <w:t>2.</w:t>
      </w:r>
      <w:r>
        <w:rPr>
          <w:rFonts w:hint="eastAsia" w:ascii="仿宋" w:hAnsi="仿宋" w:eastAsia="仿宋" w:cs="仿宋"/>
          <w:spacing w:val="0"/>
          <w:position w:val="0"/>
          <w:sz w:val="28"/>
          <w:szCs w:val="28"/>
          <w:highlight w:val="none"/>
          <w:lang w:val="en-US" w:eastAsia="zh-CN"/>
        </w:rPr>
        <w:t>资质要求：具备</w:t>
      </w:r>
      <w:r>
        <w:rPr>
          <w:rFonts w:hint="eastAsia" w:ascii="仿宋" w:hAnsi="仿宋" w:eastAsia="仿宋" w:cs="仿宋"/>
          <w:spacing w:val="0"/>
          <w:position w:val="0"/>
          <w:sz w:val="28"/>
          <w:szCs w:val="28"/>
          <w:highlight w:val="none"/>
          <w:u w:val="none"/>
          <w:lang w:val="en-US" w:eastAsia="zh-CN"/>
        </w:rPr>
        <w:t>行政审批主管部门</w:t>
      </w:r>
      <w:r>
        <w:rPr>
          <w:rFonts w:hint="eastAsia" w:ascii="仿宋" w:hAnsi="仿宋" w:eastAsia="仿宋" w:cs="仿宋"/>
          <w:spacing w:val="0"/>
          <w:position w:val="0"/>
          <w:sz w:val="28"/>
          <w:szCs w:val="28"/>
          <w:highlight w:val="none"/>
          <w:lang w:val="en-US" w:eastAsia="zh-CN"/>
        </w:rPr>
        <w:t>颁发的</w:t>
      </w:r>
      <w:r>
        <w:rPr>
          <w:rFonts w:hint="eastAsia" w:ascii="仿宋" w:hAnsi="仿宋" w:eastAsia="仿宋" w:cs="仿宋"/>
          <w:color w:val="auto"/>
          <w:kern w:val="2"/>
          <w:sz w:val="28"/>
          <w:szCs w:val="28"/>
          <w:highlight w:val="none"/>
          <w:u w:val="none"/>
          <w:lang w:val="en-US" w:eastAsia="zh-CN" w:bidi="ar-SA"/>
        </w:rPr>
        <w:t>食品经营许可证</w:t>
      </w:r>
      <w:r>
        <w:rPr>
          <w:rFonts w:hint="eastAsia" w:ascii="仿宋" w:hAnsi="仿宋" w:eastAsia="仿宋" w:cs="仿宋"/>
          <w:spacing w:val="0"/>
          <w:position w:val="0"/>
          <w:sz w:val="28"/>
          <w:szCs w:val="28"/>
          <w:highlight w:val="none"/>
          <w:lang w:val="en-US" w:eastAsia="zh-CN"/>
        </w:rPr>
        <w:t>书，证书处于有效期。</w:t>
      </w:r>
    </w:p>
    <w:p w14:paraId="4B025415">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3.类似项目业绩要求：</w:t>
      </w:r>
    </w:p>
    <w:p w14:paraId="08E4389C">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14:paraId="6DB9BF2F">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☑提供：近</w:t>
      </w:r>
      <w:r>
        <w:rPr>
          <w:rFonts w:hint="eastAsia" w:ascii="仿宋" w:hAnsi="仿宋" w:eastAsia="仿宋" w:cs="仿宋"/>
          <w:color w:val="auto"/>
          <w:kern w:val="2"/>
          <w:sz w:val="28"/>
          <w:szCs w:val="28"/>
          <w:highlight w:val="none"/>
          <w:u w:val="none"/>
          <w:lang w:val="en-US" w:eastAsia="zh-CN" w:bidi="ar-SA"/>
        </w:rPr>
        <w:t>3</w:t>
      </w:r>
      <w:r>
        <w:rPr>
          <w:rFonts w:hint="eastAsia" w:ascii="仿宋" w:hAnsi="仿宋" w:eastAsia="仿宋" w:cs="仿宋"/>
          <w:color w:val="auto"/>
          <w:kern w:val="2"/>
          <w:sz w:val="28"/>
          <w:szCs w:val="28"/>
          <w:highlight w:val="none"/>
          <w:lang w:val="en-US" w:eastAsia="zh-CN" w:bidi="ar-SA"/>
        </w:rPr>
        <w:t>年内（</w:t>
      </w:r>
      <w:r>
        <w:rPr>
          <w:rFonts w:hint="eastAsia" w:ascii="仿宋" w:hAnsi="仿宋" w:eastAsia="仿宋" w:cs="仿宋"/>
          <w:color w:val="auto"/>
          <w:spacing w:val="15"/>
          <w:kern w:val="0"/>
          <w:sz w:val="28"/>
          <w:szCs w:val="28"/>
          <w:highlight w:val="none"/>
          <w:u w:val="single"/>
          <w:lang w:val="en-US" w:eastAsia="zh-CN"/>
        </w:rPr>
        <w:t>2022</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11</w:t>
      </w:r>
      <w:r>
        <w:rPr>
          <w:rFonts w:hint="eastAsia" w:ascii="仿宋" w:hAnsi="仿宋" w:eastAsia="仿宋" w:cs="仿宋"/>
          <w:color w:val="auto"/>
          <w:spacing w:val="15"/>
          <w:kern w:val="0"/>
          <w:sz w:val="28"/>
          <w:szCs w:val="28"/>
          <w:highlight w:val="none"/>
          <w:lang w:val="en-US" w:eastAsia="zh-CN"/>
        </w:rPr>
        <w:t>月至</w:t>
      </w:r>
      <w:r>
        <w:rPr>
          <w:rFonts w:hint="eastAsia" w:ascii="仿宋" w:hAnsi="仿宋" w:eastAsia="仿宋" w:cs="仿宋"/>
          <w:color w:val="auto"/>
          <w:spacing w:val="15"/>
          <w:kern w:val="0"/>
          <w:sz w:val="28"/>
          <w:szCs w:val="28"/>
          <w:highlight w:val="none"/>
          <w:u w:val="single"/>
          <w:lang w:val="en-US" w:eastAsia="zh-CN"/>
        </w:rPr>
        <w:t>2025</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11</w:t>
      </w:r>
      <w:r>
        <w:rPr>
          <w:rFonts w:hint="eastAsia" w:ascii="仿宋" w:hAnsi="仿宋" w:eastAsia="仿宋" w:cs="仿宋"/>
          <w:color w:val="auto"/>
          <w:spacing w:val="15"/>
          <w:kern w:val="0"/>
          <w:sz w:val="28"/>
          <w:szCs w:val="28"/>
          <w:highlight w:val="none"/>
          <w:lang w:val="en-US" w:eastAsia="zh-CN"/>
        </w:rPr>
        <w:t>月</w:t>
      </w:r>
      <w:r>
        <w:rPr>
          <w:rFonts w:hint="eastAsia" w:ascii="仿宋" w:hAnsi="仿宋" w:eastAsia="仿宋" w:cs="仿宋"/>
          <w:color w:val="auto"/>
          <w:kern w:val="2"/>
          <w:sz w:val="28"/>
          <w:szCs w:val="28"/>
          <w:highlight w:val="none"/>
          <w:lang w:val="en-US" w:eastAsia="zh-CN" w:bidi="ar-SA"/>
        </w:rPr>
        <w:t>）不少于</w:t>
      </w:r>
      <w:r>
        <w:rPr>
          <w:rFonts w:hint="eastAsia" w:ascii="仿宋" w:hAnsi="仿宋" w:eastAsia="仿宋" w:cs="仿宋"/>
          <w:color w:val="auto"/>
          <w:kern w:val="2"/>
          <w:sz w:val="28"/>
          <w:szCs w:val="28"/>
          <w:highlight w:val="none"/>
          <w:u w:val="single"/>
          <w:lang w:val="en-US" w:eastAsia="zh-CN" w:bidi="ar-SA"/>
        </w:rPr>
        <w:t>1</w:t>
      </w:r>
      <w:r>
        <w:rPr>
          <w:rFonts w:hint="eastAsia" w:ascii="仿宋" w:hAnsi="仿宋" w:eastAsia="仿宋" w:cs="仿宋"/>
          <w:color w:val="auto"/>
          <w:kern w:val="2"/>
          <w:sz w:val="28"/>
          <w:szCs w:val="28"/>
          <w:highlight w:val="none"/>
          <w:lang w:val="en-US" w:eastAsia="zh-CN" w:bidi="ar-SA"/>
        </w:rPr>
        <w:t>个具有中标金额贰拾伍万元及以上</w:t>
      </w:r>
      <w:r>
        <w:rPr>
          <w:rFonts w:hint="eastAsia" w:ascii="仿宋" w:hAnsi="仿宋" w:eastAsia="仿宋" w:cs="仿宋"/>
          <w:color w:val="auto"/>
          <w:spacing w:val="15"/>
          <w:kern w:val="0"/>
          <w:sz w:val="28"/>
          <w:szCs w:val="28"/>
          <w:highlight w:val="none"/>
          <w:lang w:val="en-US" w:eastAsia="zh-CN"/>
        </w:rPr>
        <w:t>的</w:t>
      </w:r>
      <w:r>
        <w:rPr>
          <w:rFonts w:hint="eastAsia" w:ascii="仿宋" w:hAnsi="仿宋" w:eastAsia="仿宋" w:cs="仿宋"/>
          <w:color w:val="auto"/>
          <w:kern w:val="2"/>
          <w:sz w:val="28"/>
          <w:szCs w:val="28"/>
          <w:highlight w:val="none"/>
          <w:lang w:val="en-US" w:eastAsia="zh-CN" w:bidi="ar-SA"/>
        </w:rPr>
        <w:t>类似项目业绩。</w:t>
      </w:r>
    </w:p>
    <w:p w14:paraId="238A1982">
      <w:pPr>
        <w:keepNext w:val="0"/>
        <w:keepLines w:val="0"/>
        <w:pageBreakBefore w:val="0"/>
        <w:kinsoku/>
        <w:wordWrap/>
        <w:overflowPunct/>
        <w:topLinePunct w:val="0"/>
        <w:bidi w:val="0"/>
        <w:adjustRightInd w:val="0"/>
        <w:snapToGrid w:val="0"/>
        <w:spacing w:line="480" w:lineRule="exact"/>
        <w:ind w:firstLine="560" w:firstLineChars="200"/>
        <w:jc w:val="left"/>
        <w:rPr>
          <w:rFonts w:ascii="仿宋" w:hAnsi="仿宋" w:eastAsia="仿宋" w:cs="仿宋"/>
          <w:sz w:val="28"/>
          <w:szCs w:val="28"/>
          <w:highlight w:val="none"/>
        </w:rPr>
      </w:pPr>
      <w:r>
        <w:rPr>
          <w:rFonts w:hint="eastAsia" w:ascii="仿宋" w:hAnsi="仿宋" w:eastAsia="仿宋" w:cs="仿宋"/>
          <w:color w:val="auto"/>
          <w:kern w:val="2"/>
          <w:sz w:val="28"/>
          <w:szCs w:val="28"/>
          <w:highlight w:val="none"/>
          <w:lang w:val="en-US" w:eastAsia="zh-CN" w:bidi="ar-SA"/>
        </w:rPr>
        <w:t>类似项目业绩是指：</w:t>
      </w:r>
      <w:r>
        <w:rPr>
          <w:rFonts w:hint="eastAsia" w:ascii="仿宋" w:hAnsi="仿宋" w:eastAsia="仿宋" w:cs="仿宋"/>
          <w:sz w:val="28"/>
          <w:szCs w:val="28"/>
          <w:highlight w:val="none"/>
        </w:rPr>
        <w:t>党政机关、</w:t>
      </w:r>
      <w:r>
        <w:rPr>
          <w:rFonts w:hint="eastAsia" w:ascii="仿宋" w:hAnsi="仿宋" w:eastAsia="仿宋" w:cs="仿宋"/>
          <w:sz w:val="28"/>
          <w:szCs w:val="28"/>
          <w:highlight w:val="none"/>
          <w:lang w:eastAsia="zh-CN"/>
        </w:rPr>
        <w:t>企</w:t>
      </w:r>
      <w:r>
        <w:rPr>
          <w:rFonts w:hint="eastAsia" w:ascii="仿宋" w:hAnsi="仿宋" w:eastAsia="仿宋" w:cs="仿宋"/>
          <w:sz w:val="28"/>
          <w:szCs w:val="28"/>
          <w:highlight w:val="none"/>
        </w:rPr>
        <w:t>事业单位、</w:t>
      </w:r>
      <w:r>
        <w:rPr>
          <w:rFonts w:hint="eastAsia" w:ascii="仿宋" w:hAnsi="仿宋" w:eastAsia="仿宋" w:cs="仿宋"/>
          <w:sz w:val="28"/>
          <w:szCs w:val="28"/>
          <w:highlight w:val="none"/>
          <w:lang w:val="en-US" w:eastAsia="zh-CN"/>
        </w:rPr>
        <w:t>银行、</w:t>
      </w:r>
      <w:r>
        <w:rPr>
          <w:rFonts w:hint="eastAsia" w:ascii="仿宋" w:hAnsi="仿宋" w:eastAsia="仿宋" w:cs="仿宋"/>
          <w:sz w:val="28"/>
          <w:szCs w:val="28"/>
          <w:highlight w:val="none"/>
        </w:rPr>
        <w:t>医院、学校、工厂</w:t>
      </w:r>
      <w:r>
        <w:rPr>
          <w:rFonts w:hint="eastAsia" w:ascii="仿宋" w:hAnsi="仿宋" w:eastAsia="仿宋" w:cs="仿宋"/>
          <w:sz w:val="28"/>
          <w:szCs w:val="28"/>
          <w:highlight w:val="none"/>
          <w:lang w:val="en-US" w:eastAsia="zh-CN"/>
        </w:rPr>
        <w:t>的</w:t>
      </w:r>
      <w:r>
        <w:rPr>
          <w:rFonts w:hint="eastAsia" w:ascii="仿宋" w:hAnsi="仿宋" w:eastAsia="仿宋" w:cs="仿宋"/>
          <w:sz w:val="28"/>
          <w:szCs w:val="28"/>
          <w:highlight w:val="none"/>
        </w:rPr>
        <w:t>食堂</w:t>
      </w:r>
      <w:r>
        <w:rPr>
          <w:rFonts w:hint="eastAsia" w:ascii="仿宋" w:hAnsi="仿宋" w:eastAsia="仿宋" w:cs="仿宋"/>
          <w:sz w:val="28"/>
          <w:szCs w:val="28"/>
          <w:highlight w:val="none"/>
          <w:lang w:val="en-US" w:eastAsia="zh-CN"/>
        </w:rPr>
        <w:t>劳务</w:t>
      </w:r>
      <w:r>
        <w:rPr>
          <w:rFonts w:hint="eastAsia" w:ascii="仿宋" w:hAnsi="仿宋" w:eastAsia="仿宋" w:cs="仿宋"/>
          <w:sz w:val="28"/>
          <w:szCs w:val="28"/>
          <w:highlight w:val="none"/>
        </w:rPr>
        <w:t>承包业绩。</w:t>
      </w:r>
    </w:p>
    <w:p w14:paraId="6D8C6806">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spacing w:val="0"/>
          <w:position w:val="0"/>
          <w:sz w:val="28"/>
          <w:szCs w:val="28"/>
          <w:highlight w:val="none"/>
          <w:lang w:val="en-US" w:eastAsia="zh-CN"/>
        </w:rPr>
        <w:t>4.项目负责人要求：</w:t>
      </w:r>
    </w:p>
    <w:p w14:paraId="0279629B">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14:paraId="01687F65">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spacing w:val="0"/>
          <w:position w:val="0"/>
          <w:sz w:val="28"/>
          <w:szCs w:val="28"/>
          <w:highlight w:val="none"/>
          <w:lang w:val="en-US" w:eastAsia="zh-CN"/>
        </w:rPr>
      </w:pPr>
      <w:r>
        <w:rPr>
          <w:rFonts w:hint="eastAsia" w:ascii="仿宋" w:hAnsi="仿宋" w:eastAsia="仿宋" w:cs="仿宋"/>
          <w:color w:val="auto"/>
          <w:kern w:val="2"/>
          <w:sz w:val="28"/>
          <w:szCs w:val="28"/>
          <w:highlight w:val="none"/>
          <w:lang w:val="en-US" w:eastAsia="zh-CN" w:bidi="ar-SA"/>
        </w:rPr>
        <w:t>☑提供：</w:t>
      </w:r>
      <w:r>
        <w:rPr>
          <w:rFonts w:hint="eastAsia" w:ascii="仿宋" w:hAnsi="仿宋" w:eastAsia="仿宋" w:cs="仿宋"/>
          <w:spacing w:val="0"/>
          <w:position w:val="0"/>
          <w:sz w:val="28"/>
          <w:szCs w:val="28"/>
          <w:highlight w:val="none"/>
          <w:lang w:val="en-US" w:eastAsia="zh-CN"/>
        </w:rPr>
        <w:t>拟任项目负责人须具有</w:t>
      </w:r>
      <w:r>
        <w:rPr>
          <w:rFonts w:hint="eastAsia" w:ascii="仿宋" w:hAnsi="仿宋" w:eastAsia="仿宋" w:cs="仿宋"/>
          <w:sz w:val="28"/>
          <w:szCs w:val="28"/>
          <w:highlight w:val="none"/>
        </w:rPr>
        <w:t>三级及以上厨师证</w:t>
      </w:r>
      <w:r>
        <w:rPr>
          <w:rFonts w:hint="eastAsia" w:ascii="仿宋" w:hAnsi="仿宋" w:eastAsia="仿宋" w:cs="仿宋"/>
          <w:color w:val="auto"/>
          <w:spacing w:val="0"/>
          <w:position w:val="0"/>
          <w:sz w:val="28"/>
          <w:szCs w:val="28"/>
          <w:highlight w:val="none"/>
          <w:u w:val="none"/>
          <w:lang w:val="en-US" w:eastAsia="zh-CN"/>
        </w:rPr>
        <w:t>（</w:t>
      </w:r>
      <w:r>
        <w:rPr>
          <w:rFonts w:hint="eastAsia" w:ascii="仿宋" w:hAnsi="仿宋" w:eastAsia="仿宋" w:cs="仿宋"/>
          <w:spacing w:val="0"/>
          <w:position w:val="0"/>
          <w:sz w:val="28"/>
          <w:szCs w:val="28"/>
          <w:highlight w:val="none"/>
          <w:u w:val="none"/>
          <w:lang w:val="en-US" w:eastAsia="zh-CN"/>
        </w:rPr>
        <w:t>证书</w:t>
      </w:r>
      <w:r>
        <w:rPr>
          <w:rFonts w:hint="eastAsia" w:ascii="仿宋" w:hAnsi="仿宋" w:eastAsia="仿宋" w:cs="仿宋"/>
          <w:color w:val="auto"/>
          <w:spacing w:val="0"/>
          <w:position w:val="0"/>
          <w:sz w:val="28"/>
          <w:szCs w:val="28"/>
          <w:highlight w:val="none"/>
          <w:u w:val="none"/>
          <w:lang w:val="en-US" w:eastAsia="zh-CN"/>
        </w:rPr>
        <w:t>或职称或执业资格等）</w:t>
      </w:r>
      <w:r>
        <w:rPr>
          <w:rFonts w:hint="eastAsia" w:ascii="仿宋" w:hAnsi="仿宋" w:eastAsia="仿宋" w:cs="仿宋"/>
          <w:spacing w:val="0"/>
          <w:position w:val="0"/>
          <w:sz w:val="28"/>
          <w:szCs w:val="28"/>
          <w:highlight w:val="none"/>
          <w:lang w:val="en-US" w:eastAsia="zh-CN"/>
        </w:rPr>
        <w:t>，且为本单位在职员工，并提供劳动和社会保障部门出具的投标截止时间前近半年连续6个月</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color w:val="auto"/>
          <w:spacing w:val="15"/>
          <w:kern w:val="0"/>
          <w:sz w:val="28"/>
          <w:szCs w:val="28"/>
          <w:highlight w:val="none"/>
          <w:u w:val="single"/>
          <w:lang w:val="en-US" w:eastAsia="zh-CN"/>
        </w:rPr>
        <w:t>2025</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6</w:t>
      </w:r>
      <w:r>
        <w:rPr>
          <w:rFonts w:hint="eastAsia" w:ascii="仿宋" w:hAnsi="仿宋" w:eastAsia="仿宋" w:cs="仿宋"/>
          <w:color w:val="auto"/>
          <w:spacing w:val="15"/>
          <w:kern w:val="0"/>
          <w:sz w:val="28"/>
          <w:szCs w:val="28"/>
          <w:highlight w:val="none"/>
          <w:lang w:val="en-US" w:eastAsia="zh-CN"/>
        </w:rPr>
        <w:t>月至</w:t>
      </w:r>
      <w:r>
        <w:rPr>
          <w:rFonts w:hint="eastAsia" w:ascii="仿宋" w:hAnsi="仿宋" w:eastAsia="仿宋" w:cs="仿宋"/>
          <w:color w:val="auto"/>
          <w:spacing w:val="15"/>
          <w:kern w:val="0"/>
          <w:sz w:val="28"/>
          <w:szCs w:val="28"/>
          <w:highlight w:val="none"/>
          <w:u w:val="single"/>
          <w:lang w:val="en-US" w:eastAsia="zh-CN"/>
        </w:rPr>
        <w:t>2025</w:t>
      </w:r>
      <w:r>
        <w:rPr>
          <w:rFonts w:hint="eastAsia" w:ascii="仿宋" w:hAnsi="仿宋" w:eastAsia="仿宋" w:cs="仿宋"/>
          <w:color w:val="auto"/>
          <w:spacing w:val="15"/>
          <w:kern w:val="0"/>
          <w:sz w:val="28"/>
          <w:szCs w:val="28"/>
          <w:highlight w:val="none"/>
          <w:lang w:val="en-US" w:eastAsia="zh-CN"/>
        </w:rPr>
        <w:t>年11月</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spacing w:val="0"/>
          <w:position w:val="0"/>
          <w:sz w:val="28"/>
          <w:szCs w:val="28"/>
          <w:highlight w:val="none"/>
          <w:lang w:val="en-US" w:eastAsia="zh-CN"/>
        </w:rPr>
        <w:t>的社保证明。</w:t>
      </w:r>
    </w:p>
    <w:p w14:paraId="1FF219B5">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5.其他人员要求：</w:t>
      </w:r>
    </w:p>
    <w:p w14:paraId="3616444F">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14:paraId="342FD115">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spacing w:val="0"/>
          <w:position w:val="0"/>
          <w:sz w:val="28"/>
          <w:szCs w:val="28"/>
          <w:highlight w:val="none"/>
          <w:lang w:val="en-US" w:eastAsia="zh-CN"/>
        </w:rPr>
      </w:pPr>
      <w:r>
        <w:rPr>
          <w:rFonts w:hint="eastAsia" w:ascii="仿宋" w:hAnsi="仿宋" w:eastAsia="仿宋" w:cs="仿宋"/>
          <w:color w:val="auto"/>
          <w:kern w:val="2"/>
          <w:sz w:val="28"/>
          <w:szCs w:val="28"/>
          <w:highlight w:val="none"/>
          <w:lang w:val="en-US" w:eastAsia="zh-CN" w:bidi="ar-SA"/>
        </w:rPr>
        <w:t>□提供：</w:t>
      </w:r>
      <w:r>
        <w:rPr>
          <w:rFonts w:hint="eastAsia" w:ascii="仿宋" w:hAnsi="仿宋" w:eastAsia="仿宋" w:cs="仿宋"/>
          <w:color w:val="auto"/>
          <w:kern w:val="2"/>
          <w:sz w:val="28"/>
          <w:szCs w:val="28"/>
          <w:highlight w:val="none"/>
          <w:u w:val="single"/>
          <w:lang w:val="en-US" w:eastAsia="zh-CN" w:bidi="ar-SA"/>
        </w:rPr>
        <w:t xml:space="preserve">      /      </w:t>
      </w:r>
      <w:r>
        <w:rPr>
          <w:rFonts w:hint="eastAsia" w:ascii="仿宋" w:hAnsi="仿宋" w:eastAsia="仿宋" w:cs="仿宋"/>
          <w:color w:val="auto"/>
          <w:kern w:val="2"/>
          <w:sz w:val="28"/>
          <w:szCs w:val="28"/>
          <w:highlight w:val="none"/>
          <w:u w:val="none"/>
          <w:lang w:val="en-US" w:eastAsia="zh-CN" w:bidi="ar-SA"/>
        </w:rPr>
        <w:t>。</w:t>
      </w:r>
    </w:p>
    <w:p w14:paraId="7C9472BB">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6.联合体要求：</w:t>
      </w:r>
      <w:r>
        <w:rPr>
          <w:rFonts w:hint="eastAsia" w:ascii="仿宋" w:hAnsi="仿宋" w:eastAsia="仿宋" w:cs="仿宋"/>
          <w:b w:val="0"/>
          <w:bCs w:val="0"/>
          <w:color w:val="auto"/>
          <w:spacing w:val="0"/>
          <w:kern w:val="2"/>
          <w:position w:val="0"/>
          <w:sz w:val="28"/>
          <w:szCs w:val="28"/>
          <w:highlight w:val="none"/>
          <w:lang w:val="en-US" w:eastAsia="zh-CN" w:bidi="ar-SA"/>
        </w:rPr>
        <w:t>本次比选不</w:t>
      </w:r>
      <w:r>
        <w:rPr>
          <w:rFonts w:hint="eastAsia" w:ascii="仿宋" w:hAnsi="仿宋" w:eastAsia="仿宋" w:cs="仿宋"/>
          <w:b w:val="0"/>
          <w:bCs w:val="0"/>
          <w:spacing w:val="0"/>
          <w:kern w:val="2"/>
          <w:position w:val="0"/>
          <w:sz w:val="28"/>
          <w:szCs w:val="28"/>
          <w:highlight w:val="none"/>
          <w:lang w:val="en-US" w:eastAsia="zh-CN" w:bidi="ar-SA"/>
        </w:rPr>
        <w:t>接受联合体参加。</w:t>
      </w:r>
    </w:p>
    <w:p w14:paraId="77EE049C">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7.其他要求：</w:t>
      </w:r>
      <w:r>
        <w:rPr>
          <w:rFonts w:hint="eastAsia" w:ascii="仿宋" w:hAnsi="仿宋" w:eastAsia="仿宋" w:cs="仿宋"/>
          <w:b w:val="0"/>
          <w:bCs w:val="0"/>
          <w:spacing w:val="0"/>
          <w:kern w:val="2"/>
          <w:position w:val="0"/>
          <w:sz w:val="28"/>
          <w:szCs w:val="28"/>
          <w:highlight w:val="none"/>
          <w:u w:val="single"/>
          <w:lang w:val="en-US" w:eastAsia="zh-CN" w:bidi="ar-SA"/>
        </w:rPr>
        <w:t xml:space="preserve">   无    </w:t>
      </w:r>
      <w:r>
        <w:rPr>
          <w:rFonts w:hint="eastAsia" w:ascii="仿宋" w:hAnsi="仿宋" w:eastAsia="仿宋" w:cs="仿宋"/>
          <w:b w:val="0"/>
          <w:bCs w:val="0"/>
          <w:spacing w:val="0"/>
          <w:kern w:val="2"/>
          <w:position w:val="0"/>
          <w:sz w:val="28"/>
          <w:szCs w:val="28"/>
          <w:highlight w:val="none"/>
          <w:u w:val="none"/>
          <w:lang w:val="en-US" w:eastAsia="zh-CN" w:bidi="ar-SA"/>
        </w:rPr>
        <w:t>。</w:t>
      </w:r>
    </w:p>
    <w:p w14:paraId="4C12BF01">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480" w:lineRule="exact"/>
        <w:ind w:right="0" w:firstLine="640" w:firstLineChars="200"/>
        <w:jc w:val="both"/>
        <w:textAlignment w:val="baseline"/>
        <w:rPr>
          <w:rFonts w:hint="eastAsia" w:ascii="黑体" w:hAnsi="黑体" w:eastAsia="黑体" w:cs="黑体"/>
          <w:b w:val="0"/>
          <w:bCs w:val="0"/>
          <w:caps w:val="0"/>
          <w:color w:val="auto"/>
          <w:spacing w:val="0"/>
          <w:kern w:val="0"/>
          <w:sz w:val="32"/>
          <w:szCs w:val="32"/>
          <w:highlight w:val="none"/>
          <w:lang w:val="en-US" w:eastAsia="zh-CN" w:bidi="ar"/>
        </w:rPr>
      </w:pPr>
      <w:r>
        <w:rPr>
          <w:rFonts w:hint="eastAsia" w:ascii="黑体" w:hAnsi="黑体" w:eastAsia="黑体" w:cs="黑体"/>
          <w:b w:val="0"/>
          <w:bCs w:val="0"/>
          <w:caps w:val="0"/>
          <w:color w:val="auto"/>
          <w:spacing w:val="0"/>
          <w:kern w:val="0"/>
          <w:sz w:val="32"/>
          <w:szCs w:val="32"/>
          <w:highlight w:val="none"/>
          <w:lang w:val="en-US" w:eastAsia="zh-CN" w:bidi="ar"/>
        </w:rPr>
        <w:t>四、投标保证金</w:t>
      </w:r>
    </w:p>
    <w:p w14:paraId="2018D30B">
      <w:pPr>
        <w:pStyle w:val="7"/>
        <w:keepNext w:val="0"/>
        <w:keepLines w:val="0"/>
        <w:pageBreakBefore w:val="0"/>
        <w:widowControl/>
        <w:tabs>
          <w:tab w:val="left" w:pos="148"/>
        </w:tabs>
        <w:kinsoku/>
        <w:wordWrap/>
        <w:overflowPunct/>
        <w:topLinePunct w:val="0"/>
        <w:autoSpaceDE w:val="0"/>
        <w:autoSpaceDN w:val="0"/>
        <w:bidi w:val="0"/>
        <w:adjustRightInd w:val="0"/>
        <w:snapToGrid w:val="0"/>
        <w:spacing w:after="0" w:line="480" w:lineRule="exact"/>
        <w:ind w:left="0" w:right="0" w:firstLine="560" w:firstLineChars="200"/>
        <w:jc w:val="both"/>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本次比选的投标保证金为</w:t>
      </w:r>
      <w:r>
        <w:rPr>
          <w:rFonts w:hint="eastAsia" w:ascii="仿宋" w:hAnsi="仿宋" w:eastAsia="仿宋" w:cs="仿宋"/>
          <w:spacing w:val="0"/>
          <w:position w:val="0"/>
          <w:sz w:val="28"/>
          <w:szCs w:val="28"/>
          <w:highlight w:val="none"/>
          <w:u w:val="single"/>
          <w:lang w:val="en-US" w:eastAsia="zh-CN"/>
        </w:rPr>
        <w:t xml:space="preserve"> 15000 </w:t>
      </w:r>
      <w:r>
        <w:rPr>
          <w:rFonts w:hint="eastAsia" w:ascii="仿宋" w:hAnsi="仿宋" w:eastAsia="仿宋" w:cs="仿宋"/>
          <w:spacing w:val="0"/>
          <w:position w:val="0"/>
          <w:sz w:val="28"/>
          <w:szCs w:val="28"/>
          <w:highlight w:val="none"/>
          <w:lang w:val="en-US" w:eastAsia="zh-CN"/>
        </w:rPr>
        <w:t>元，采用保函形式（银行保函或担保公司保函，具体要求按照参选人须知前附表第16款规定执行）。</w:t>
      </w:r>
    </w:p>
    <w:p w14:paraId="0BD09450">
      <w:pPr>
        <w:keepNext w:val="0"/>
        <w:keepLines w:val="0"/>
        <w:pageBreakBefore w:val="0"/>
        <w:kinsoku/>
        <w:wordWrap/>
        <w:overflowPunct/>
        <w:topLinePunct w:val="0"/>
        <w:autoSpaceDE/>
        <w:autoSpaceDN/>
        <w:bidi w:val="0"/>
        <w:adjustRightInd w:val="0"/>
        <w:snapToGrid w:val="0"/>
        <w:spacing w:line="480" w:lineRule="exact"/>
        <w:ind w:firstLine="640" w:firstLineChars="200"/>
        <w:jc w:val="left"/>
        <w:rPr>
          <w:rFonts w:hint="eastAsia" w:ascii="黑体" w:hAnsi="黑体" w:eastAsia="黑体" w:cs="黑体"/>
          <w:b w:val="0"/>
          <w:bCs w:val="0"/>
          <w:caps w:val="0"/>
          <w:color w:val="auto"/>
          <w:spacing w:val="0"/>
          <w:kern w:val="0"/>
          <w:sz w:val="32"/>
          <w:szCs w:val="32"/>
          <w:highlight w:val="none"/>
          <w:lang w:val="en-US" w:eastAsia="zh-CN" w:bidi="ar"/>
        </w:rPr>
      </w:pPr>
      <w:r>
        <w:rPr>
          <w:rFonts w:hint="eastAsia" w:ascii="黑体" w:hAnsi="黑体" w:eastAsia="黑体" w:cs="黑体"/>
          <w:b w:val="0"/>
          <w:bCs w:val="0"/>
          <w:caps w:val="0"/>
          <w:color w:val="auto"/>
          <w:spacing w:val="0"/>
          <w:kern w:val="0"/>
          <w:sz w:val="32"/>
          <w:szCs w:val="32"/>
          <w:highlight w:val="none"/>
          <w:lang w:val="en-US" w:eastAsia="zh-CN" w:bidi="ar"/>
        </w:rPr>
        <w:t>五、比选文件的获取</w:t>
      </w:r>
    </w:p>
    <w:p w14:paraId="539641EE">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28"/>
          <w:szCs w:val="28"/>
          <w:highlight w:val="none"/>
          <w:lang w:val="en-US" w:eastAsia="zh-CN"/>
        </w:rPr>
        <w:t>凡有意参加比选的参选单位，请在衡阳市国有资产投资控股集团有限公司官方网站（www.hxamc.com）上下载比选文件，并按照比选文件要求和相关规定参与比选。</w:t>
      </w:r>
    </w:p>
    <w:p w14:paraId="20E864F4">
      <w:pPr>
        <w:keepNext w:val="0"/>
        <w:keepLines w:val="0"/>
        <w:pageBreakBefore w:val="0"/>
        <w:kinsoku/>
        <w:wordWrap/>
        <w:overflowPunct/>
        <w:topLinePunct w:val="0"/>
        <w:autoSpaceDE/>
        <w:autoSpaceDN/>
        <w:bidi w:val="0"/>
        <w:adjustRightInd w:val="0"/>
        <w:snapToGrid w:val="0"/>
        <w:spacing w:line="480" w:lineRule="exact"/>
        <w:ind w:firstLine="640" w:firstLineChars="200"/>
        <w:jc w:val="left"/>
        <w:rPr>
          <w:rFonts w:hint="default" w:ascii="仿宋" w:hAnsi="仿宋" w:eastAsia="仿宋"/>
          <w:b w:val="0"/>
          <w:bCs w:val="0"/>
          <w:color w:val="auto"/>
          <w:sz w:val="28"/>
          <w:szCs w:val="28"/>
          <w:highlight w:val="none"/>
          <w:lang w:val="en-US"/>
        </w:rPr>
      </w:pPr>
      <w:r>
        <w:rPr>
          <w:rFonts w:hint="eastAsia" w:ascii="黑体" w:hAnsi="黑体" w:eastAsia="黑体" w:cs="黑体"/>
          <w:b w:val="0"/>
          <w:bCs w:val="0"/>
          <w:caps w:val="0"/>
          <w:color w:val="auto"/>
          <w:spacing w:val="0"/>
          <w:kern w:val="0"/>
          <w:sz w:val="32"/>
          <w:szCs w:val="32"/>
          <w:highlight w:val="none"/>
          <w:lang w:val="en-US" w:eastAsia="zh-CN" w:bidi="ar"/>
        </w:rPr>
        <w:t>六、开标时间及地点</w:t>
      </w:r>
    </w:p>
    <w:p w14:paraId="22AEBDBD">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本项目拟定于</w:t>
      </w:r>
      <w:r>
        <w:rPr>
          <w:rFonts w:hint="eastAsia" w:ascii="仿宋" w:hAnsi="仿宋" w:eastAsia="仿宋" w:cs="仿宋"/>
          <w:spacing w:val="0"/>
          <w:position w:val="0"/>
          <w:sz w:val="28"/>
          <w:szCs w:val="28"/>
          <w:highlight w:val="none"/>
          <w:u w:val="single"/>
          <w:lang w:val="en-US" w:eastAsia="zh-CN"/>
        </w:rPr>
        <w:t xml:space="preserve">2025 </w:t>
      </w:r>
      <w:r>
        <w:rPr>
          <w:rFonts w:hint="eastAsia" w:ascii="仿宋" w:hAnsi="仿宋" w:eastAsia="仿宋" w:cs="仿宋"/>
          <w:b w:val="0"/>
          <w:bCs w:val="0"/>
          <w:spacing w:val="0"/>
          <w:kern w:val="2"/>
          <w:position w:val="0"/>
          <w:sz w:val="28"/>
          <w:szCs w:val="28"/>
          <w:highlight w:val="none"/>
          <w:lang w:val="en-US" w:eastAsia="zh-CN" w:bidi="ar-SA"/>
        </w:rPr>
        <w:t>年</w:t>
      </w:r>
      <w:r>
        <w:rPr>
          <w:rFonts w:hint="eastAsia" w:ascii="仿宋" w:hAnsi="仿宋" w:eastAsia="仿宋" w:cs="仿宋"/>
          <w:spacing w:val="0"/>
          <w:position w:val="0"/>
          <w:sz w:val="28"/>
          <w:szCs w:val="28"/>
          <w:highlight w:val="none"/>
          <w:u w:val="single"/>
          <w:lang w:val="en-US" w:eastAsia="zh-CN"/>
        </w:rPr>
        <w:t xml:space="preserve"> 12 </w:t>
      </w:r>
      <w:r>
        <w:rPr>
          <w:rFonts w:hint="eastAsia" w:ascii="仿宋" w:hAnsi="仿宋" w:eastAsia="仿宋" w:cs="仿宋"/>
          <w:spacing w:val="0"/>
          <w:position w:val="0"/>
          <w:sz w:val="28"/>
          <w:szCs w:val="28"/>
          <w:highlight w:val="none"/>
          <w:lang w:val="en-US" w:eastAsia="zh-CN"/>
        </w:rPr>
        <w:t>月</w:t>
      </w:r>
      <w:r>
        <w:rPr>
          <w:rFonts w:hint="eastAsia" w:ascii="仿宋" w:hAnsi="仿宋" w:eastAsia="仿宋" w:cs="仿宋"/>
          <w:spacing w:val="0"/>
          <w:position w:val="0"/>
          <w:sz w:val="28"/>
          <w:szCs w:val="28"/>
          <w:highlight w:val="none"/>
          <w:u w:val="single"/>
          <w:lang w:val="en-US" w:eastAsia="zh-CN"/>
        </w:rPr>
        <w:t xml:space="preserve"> 25 </w:t>
      </w:r>
      <w:r>
        <w:rPr>
          <w:rFonts w:hint="eastAsia" w:ascii="仿宋" w:hAnsi="仿宋" w:eastAsia="仿宋" w:cs="仿宋"/>
          <w:spacing w:val="0"/>
          <w:position w:val="0"/>
          <w:sz w:val="28"/>
          <w:szCs w:val="28"/>
          <w:highlight w:val="none"/>
          <w:u w:val="none"/>
          <w:lang w:val="en-US" w:eastAsia="zh-CN"/>
        </w:rPr>
        <w:t>日下午15:00点</w:t>
      </w:r>
      <w:r>
        <w:rPr>
          <w:rFonts w:hint="eastAsia" w:ascii="仿宋" w:hAnsi="仿宋" w:eastAsia="仿宋" w:cs="仿宋"/>
          <w:b w:val="0"/>
          <w:bCs w:val="0"/>
          <w:spacing w:val="0"/>
          <w:kern w:val="2"/>
          <w:position w:val="0"/>
          <w:sz w:val="28"/>
          <w:szCs w:val="28"/>
          <w:highlight w:val="none"/>
          <w:lang w:val="en-US" w:eastAsia="zh-CN" w:bidi="ar-SA"/>
        </w:rPr>
        <w:t>（北京时间）在衡阳市国有资产投资控股集团有限公司4栋3楼评标室开标，如有变动将提前一天通知各参选单位。</w:t>
      </w:r>
    </w:p>
    <w:p w14:paraId="5B182691">
      <w:pPr>
        <w:keepNext w:val="0"/>
        <w:keepLines w:val="0"/>
        <w:pageBreakBefore w:val="0"/>
        <w:kinsoku/>
        <w:wordWrap/>
        <w:overflowPunct/>
        <w:topLinePunct w:val="0"/>
        <w:autoSpaceDE/>
        <w:autoSpaceDN/>
        <w:bidi w:val="0"/>
        <w:adjustRightInd w:val="0"/>
        <w:snapToGrid w:val="0"/>
        <w:spacing w:line="480" w:lineRule="exact"/>
        <w:ind w:firstLine="640" w:firstLineChars="200"/>
        <w:jc w:val="left"/>
        <w:rPr>
          <w:rFonts w:hint="eastAsia" w:ascii="黑体" w:hAnsi="黑体" w:eastAsia="黑体" w:cs="黑体"/>
          <w:b w:val="0"/>
          <w:bCs w:val="0"/>
          <w:caps w:val="0"/>
          <w:color w:val="auto"/>
          <w:spacing w:val="0"/>
          <w:kern w:val="0"/>
          <w:sz w:val="32"/>
          <w:szCs w:val="32"/>
          <w:highlight w:val="none"/>
          <w:lang w:val="en-US" w:eastAsia="zh-CN" w:bidi="ar"/>
        </w:rPr>
      </w:pPr>
      <w:r>
        <w:rPr>
          <w:rFonts w:hint="eastAsia" w:ascii="黑体" w:hAnsi="黑体" w:eastAsia="黑体" w:cs="黑体"/>
          <w:b w:val="0"/>
          <w:bCs w:val="0"/>
          <w:caps w:val="0"/>
          <w:color w:val="auto"/>
          <w:spacing w:val="0"/>
          <w:kern w:val="0"/>
          <w:sz w:val="32"/>
          <w:szCs w:val="32"/>
          <w:highlight w:val="none"/>
          <w:lang w:val="en-US" w:eastAsia="zh-CN" w:bidi="ar"/>
        </w:rPr>
        <w:t>七、参选文件的递交</w:t>
      </w:r>
    </w:p>
    <w:p w14:paraId="54AACAB0">
      <w:pPr>
        <w:pStyle w:val="7"/>
        <w:widowControl/>
        <w:tabs>
          <w:tab w:val="left" w:pos="148"/>
        </w:tabs>
        <w:autoSpaceDE w:val="0"/>
        <w:autoSpaceDN w:val="0"/>
        <w:adjustRightInd w:val="0"/>
        <w:snapToGrid w:val="0"/>
        <w:spacing w:line="480" w:lineRule="exact"/>
        <w:ind w:firstLine="560" w:firstLineChars="200"/>
        <w:textAlignment w:val="baseline"/>
        <w:rPr>
          <w:rFonts w:hint="eastAsia" w:ascii="仿宋" w:hAnsi="仿宋" w:eastAsia="仿宋" w:cs="仿宋"/>
          <w:b w:val="0"/>
          <w:bCs w:val="0"/>
          <w:spacing w:val="0"/>
          <w:position w:val="0"/>
          <w:sz w:val="28"/>
          <w:szCs w:val="28"/>
          <w:highlight w:val="none"/>
          <w:lang w:val="en-US" w:eastAsia="zh-CN"/>
        </w:rPr>
      </w:pPr>
      <w:r>
        <w:rPr>
          <w:rFonts w:hint="eastAsia" w:ascii="仿宋" w:hAnsi="仿宋" w:eastAsia="仿宋" w:cs="仿宋"/>
          <w:b w:val="0"/>
          <w:bCs w:val="0"/>
          <w:spacing w:val="0"/>
          <w:position w:val="0"/>
          <w:sz w:val="28"/>
          <w:szCs w:val="28"/>
          <w:highlight w:val="none"/>
          <w:lang w:val="en-US" w:eastAsia="zh-CN"/>
        </w:rPr>
        <w:t>1.开标当日，各参选单位法定代表人持法定代表人身份证明原件和本人身份证原件，或由委托代理人持法定代表人授权委托书原件、法定代表人身份证明原件及本人身份证原件到比选方监督代表处验证身份，身份验证不合格的取消其参选资格；</w:t>
      </w:r>
      <w:r>
        <w:rPr>
          <w:rFonts w:hint="eastAsia" w:ascii="仿宋" w:hAnsi="仿宋" w:eastAsia="仿宋" w:cs="仿宋"/>
          <w:sz w:val="28"/>
          <w:szCs w:val="28"/>
          <w:highlight w:val="none"/>
        </w:rPr>
        <w:t>同时，参选单位须提供投标保函原件以现场核查，未按比选文件规定缴纳投标保证金的，取消其参选资格；身份验证和投标保证金核查通过的参选单位按要求填写参选文件接收登记表。</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以上原件均指的是盖鲜章的原始文件</w:t>
      </w:r>
      <w:r>
        <w:rPr>
          <w:rFonts w:hint="eastAsia" w:ascii="仿宋" w:hAnsi="仿宋" w:eastAsia="仿宋" w:cs="仿宋"/>
          <w:sz w:val="28"/>
          <w:szCs w:val="28"/>
          <w:highlight w:val="none"/>
          <w:lang w:eastAsia="zh-CN"/>
        </w:rPr>
        <w:t>）</w:t>
      </w:r>
    </w:p>
    <w:p w14:paraId="746B3F6E">
      <w:pPr>
        <w:pStyle w:val="7"/>
        <w:keepNext w:val="0"/>
        <w:keepLines w:val="0"/>
        <w:pageBreakBefore w:val="0"/>
        <w:widowControl/>
        <w:tabs>
          <w:tab w:val="left" w:pos="148"/>
        </w:tabs>
        <w:kinsoku/>
        <w:wordWrap/>
        <w:overflowPunct/>
        <w:topLinePunct w:val="0"/>
        <w:autoSpaceDE w:val="0"/>
        <w:autoSpaceDN w:val="0"/>
        <w:bidi w:val="0"/>
        <w:adjustRightInd w:val="0"/>
        <w:snapToGrid w:val="0"/>
        <w:spacing w:line="480" w:lineRule="exact"/>
        <w:ind w:right="0" w:firstLine="560" w:firstLineChars="200"/>
        <w:jc w:val="both"/>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2.逾期送达的或者未送达指定地点的参选文件，比选人不予受理。</w:t>
      </w:r>
    </w:p>
    <w:p w14:paraId="5161DD4A">
      <w:pPr>
        <w:keepNext w:val="0"/>
        <w:keepLines w:val="0"/>
        <w:pageBreakBefore w:val="0"/>
        <w:kinsoku/>
        <w:wordWrap/>
        <w:overflowPunct/>
        <w:topLinePunct w:val="0"/>
        <w:autoSpaceDE/>
        <w:autoSpaceDN/>
        <w:bidi w:val="0"/>
        <w:adjustRightInd w:val="0"/>
        <w:snapToGrid w:val="0"/>
        <w:spacing w:line="480" w:lineRule="exact"/>
        <w:ind w:firstLine="640" w:firstLineChars="200"/>
        <w:jc w:val="left"/>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lang w:val="en-US" w:eastAsia="zh-CN"/>
        </w:rPr>
        <w:t>八、</w:t>
      </w:r>
      <w:r>
        <w:rPr>
          <w:rFonts w:hint="eastAsia" w:ascii="黑体" w:hAnsi="黑体" w:eastAsia="黑体" w:cs="黑体"/>
          <w:b w:val="0"/>
          <w:bCs w:val="0"/>
          <w:color w:val="auto"/>
          <w:sz w:val="32"/>
          <w:szCs w:val="32"/>
          <w:highlight w:val="none"/>
        </w:rPr>
        <w:t>发布公告的媒介</w:t>
      </w:r>
    </w:p>
    <w:p w14:paraId="55392B96">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spacing w:val="0"/>
          <w:position w:val="0"/>
          <w:sz w:val="32"/>
          <w:szCs w:val="32"/>
          <w:highlight w:val="none"/>
          <w:lang w:val="en-US" w:eastAsia="zh-CN"/>
        </w:rPr>
      </w:pPr>
      <w:r>
        <w:rPr>
          <w:rFonts w:hint="eastAsia" w:ascii="仿宋" w:hAnsi="仿宋" w:eastAsia="仿宋" w:cs="仿宋"/>
          <w:spacing w:val="0"/>
          <w:position w:val="0"/>
          <w:sz w:val="28"/>
          <w:szCs w:val="28"/>
          <w:highlight w:val="none"/>
          <w:lang w:val="en-US" w:eastAsia="zh-CN"/>
        </w:rPr>
        <w:t>本次比选公告在衡阳市国有资产投资控股集团有限公司官方网站（www.hxamc.com）上发布。</w:t>
      </w:r>
    </w:p>
    <w:p w14:paraId="15547189">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640" w:firstLineChars="200"/>
        <w:jc w:val="left"/>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九、联系方式</w:t>
      </w:r>
    </w:p>
    <w:p w14:paraId="53A838EE">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default"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比 选 人：衡阳市国有资产投资控股集团有限公司</w:t>
      </w:r>
    </w:p>
    <w:p w14:paraId="0C4D91FF">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地    址：衡阳市蒸湘区华新大道（西二环）11号</w:t>
      </w:r>
    </w:p>
    <w:p w14:paraId="50D96F7D">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联 系 人：罗先生</w:t>
      </w:r>
    </w:p>
    <w:p w14:paraId="7CF793EC">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32"/>
          <w:szCs w:val="32"/>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电    话：0734-8888070</w:t>
      </w:r>
    </w:p>
    <w:p w14:paraId="7E2F9F73">
      <w:pPr>
        <w:keepNext w:val="0"/>
        <w:keepLines w:val="0"/>
        <w:pageBreakBefore w:val="0"/>
        <w:kinsoku/>
        <w:wordWrap/>
        <w:overflowPunct/>
        <w:topLinePunct w:val="0"/>
        <w:autoSpaceDE/>
        <w:autoSpaceDN/>
        <w:bidi w:val="0"/>
        <w:adjustRightInd w:val="0"/>
        <w:snapToGrid w:val="0"/>
        <w:spacing w:line="480" w:lineRule="exact"/>
        <w:ind w:firstLine="640" w:firstLineChars="200"/>
        <w:jc w:val="left"/>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十、监督</w:t>
      </w:r>
    </w:p>
    <w:p w14:paraId="285E2222">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监管部门：衡阳市国有资产投资控股集团有限公司综合管理部</w:t>
      </w:r>
    </w:p>
    <w:p w14:paraId="18E122BE">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地    址：衡阳市蒸湘区华新大道（西二环）11号1栋3楼318室</w:t>
      </w:r>
    </w:p>
    <w:p w14:paraId="119C2C3B">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联 系 人：邓先生</w:t>
      </w:r>
    </w:p>
    <w:p w14:paraId="1891D62E">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电    话：0734-8888071</w:t>
      </w:r>
    </w:p>
    <w:p w14:paraId="5D5B6C2C">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p>
    <w:p w14:paraId="1574B61E">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监督单位：中共衡阳市国有资产投资控股集团有限公司纪律检查委员会</w:t>
      </w:r>
    </w:p>
    <w:p w14:paraId="5A7DC7AF">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地    址：衡阳市蒸湘区华新大道（西二环）11号1栋2楼208室</w:t>
      </w:r>
    </w:p>
    <w:p w14:paraId="5809FA2E">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联 系 人：张女士、刘先生</w:t>
      </w:r>
    </w:p>
    <w:p w14:paraId="63F79AC0">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电    话：0734-8888393</w:t>
      </w:r>
    </w:p>
    <w:p w14:paraId="68FD3513">
      <w:pPr>
        <w:rPr>
          <w:rFonts w:hint="eastAsia"/>
          <w:highlight w:val="none"/>
          <w:lang w:val="en-US" w:eastAsia="zh-CN"/>
        </w:rPr>
      </w:pPr>
    </w:p>
    <w:p w14:paraId="35CF80DF">
      <w:pPr>
        <w:rPr>
          <w:rFonts w:hint="eastAsia" w:ascii="Calibri" w:hAnsi="Calibri" w:eastAsia="方正小标宋简体" w:cs="Times New Roman"/>
          <w:bCs/>
          <w:kern w:val="44"/>
          <w:sz w:val="44"/>
          <w:szCs w:val="44"/>
          <w:highlight w:val="none"/>
          <w:lang w:val="en-US" w:eastAsia="zh-CN" w:bidi="ar-SA"/>
        </w:rPr>
      </w:pPr>
      <w:r>
        <w:rPr>
          <w:rFonts w:hint="eastAsia" w:ascii="Calibri" w:hAnsi="Calibri" w:eastAsia="方正小标宋简体" w:cs="Times New Roman"/>
          <w:bCs/>
          <w:kern w:val="44"/>
          <w:sz w:val="44"/>
          <w:szCs w:val="44"/>
          <w:highlight w:val="none"/>
          <w:lang w:val="en-US" w:eastAsia="zh-CN" w:bidi="ar-SA"/>
        </w:rPr>
        <w:br w:type="page"/>
      </w:r>
    </w:p>
    <w:p w14:paraId="7CA982F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32"/>
          <w:szCs w:val="32"/>
          <w:highlight w:val="none"/>
          <w:lang w:val="en-US" w:eastAsia="zh-CN"/>
        </w:rPr>
      </w:pPr>
      <w:r>
        <w:rPr>
          <w:rFonts w:hint="eastAsia" w:ascii="Calibri" w:hAnsi="Calibri" w:eastAsia="方正小标宋简体" w:cs="Times New Roman"/>
          <w:bCs/>
          <w:kern w:val="44"/>
          <w:sz w:val="44"/>
          <w:szCs w:val="44"/>
          <w:highlight w:val="none"/>
          <w:lang w:val="en-US" w:eastAsia="zh-CN" w:bidi="ar-SA"/>
        </w:rPr>
        <w:t>第二章  参选人须知</w:t>
      </w:r>
    </w:p>
    <w:p w14:paraId="1935FF1C">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32"/>
          <w:szCs w:val="32"/>
          <w:highlight w:val="none"/>
          <w:lang w:val="en-US" w:eastAsia="zh-CN"/>
        </w:rPr>
      </w:pPr>
    </w:p>
    <w:p w14:paraId="75EB313D">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val="0"/>
          <w:bCs w:val="0"/>
          <w:color w:val="auto"/>
          <w:sz w:val="40"/>
          <w:szCs w:val="40"/>
          <w:highlight w:val="none"/>
          <w:shd w:val="clear" w:color="auto" w:fill="FFFFFF"/>
          <w:lang w:val="en-US" w:eastAsia="zh-CN"/>
        </w:rPr>
      </w:pPr>
      <w:r>
        <w:rPr>
          <w:rFonts w:hint="eastAsia" w:ascii="黑体" w:hAnsi="黑体" w:eastAsia="黑体" w:cs="黑体"/>
          <w:b w:val="0"/>
          <w:bCs w:val="0"/>
          <w:color w:val="auto"/>
          <w:kern w:val="0"/>
          <w:sz w:val="32"/>
          <w:szCs w:val="32"/>
          <w:highlight w:val="none"/>
          <w:lang w:val="en-US" w:eastAsia="zh-CN"/>
        </w:rPr>
        <w:t>参选人</w:t>
      </w:r>
      <w:r>
        <w:rPr>
          <w:rFonts w:hint="eastAsia" w:ascii="黑体" w:hAnsi="黑体" w:eastAsia="黑体" w:cs="黑体"/>
          <w:b w:val="0"/>
          <w:bCs w:val="0"/>
          <w:color w:val="auto"/>
          <w:kern w:val="0"/>
          <w:sz w:val="32"/>
          <w:szCs w:val="32"/>
          <w:highlight w:val="none"/>
        </w:rPr>
        <w:t>须知前附表</w:t>
      </w:r>
    </w:p>
    <w:tbl>
      <w:tblPr>
        <w:tblStyle w:val="18"/>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522EF448">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13935E2F">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482" w:type="dxa"/>
            <w:tcBorders>
              <w:top w:val="single" w:color="000000" w:sz="4" w:space="0"/>
              <w:left w:val="nil"/>
              <w:bottom w:val="single" w:color="000000" w:sz="4" w:space="0"/>
              <w:right w:val="single" w:color="000000" w:sz="4" w:space="0"/>
            </w:tcBorders>
          </w:tcPr>
          <w:p w14:paraId="4136EBF6">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887" w:type="dxa"/>
            <w:tcBorders>
              <w:top w:val="single" w:color="000000" w:sz="4" w:space="0"/>
              <w:left w:val="nil"/>
              <w:bottom w:val="single" w:color="000000" w:sz="4" w:space="0"/>
              <w:right w:val="single" w:color="000000" w:sz="4" w:space="0"/>
            </w:tcBorders>
          </w:tcPr>
          <w:p w14:paraId="1D110187">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14:paraId="1B71ECDA">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D62C883">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482" w:type="dxa"/>
            <w:tcBorders>
              <w:top w:val="single" w:color="000000" w:sz="4" w:space="0"/>
              <w:left w:val="nil"/>
              <w:bottom w:val="single" w:color="000000" w:sz="4" w:space="0"/>
              <w:right w:val="single" w:color="000000" w:sz="4" w:space="0"/>
            </w:tcBorders>
            <w:vAlign w:val="center"/>
          </w:tcPr>
          <w:p w14:paraId="4BD61A20">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比选人</w:t>
            </w:r>
          </w:p>
        </w:tc>
        <w:tc>
          <w:tcPr>
            <w:tcW w:w="6887" w:type="dxa"/>
            <w:tcBorders>
              <w:top w:val="single" w:color="000000" w:sz="4" w:space="0"/>
              <w:left w:val="nil"/>
              <w:bottom w:val="single" w:color="000000" w:sz="4" w:space="0"/>
              <w:right w:val="single" w:color="000000" w:sz="4" w:space="0"/>
            </w:tcBorders>
            <w:vAlign w:val="center"/>
          </w:tcPr>
          <w:p w14:paraId="70CEB8C1">
            <w:pPr>
              <w:keepNext w:val="0"/>
              <w:keepLines w:val="0"/>
              <w:pageBreakBefore w:val="0"/>
              <w:widowControl/>
              <w:kinsoku/>
              <w:wordWrap/>
              <w:overflowPunct/>
              <w:topLinePunct w:val="0"/>
              <w:autoSpaceDE/>
              <w:autoSpaceDN/>
              <w:bidi w:val="0"/>
              <w:spacing w:line="400" w:lineRule="exact"/>
              <w:jc w:val="left"/>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 选 人</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衡阳市国有资产投资控股集团有限公司</w:t>
            </w:r>
          </w:p>
          <w:p w14:paraId="1E3129D8">
            <w:pPr>
              <w:keepNext w:val="0"/>
              <w:keepLines w:val="0"/>
              <w:pageBreakBefore w:val="0"/>
              <w:widowControl/>
              <w:kinsoku/>
              <w:wordWrap/>
              <w:overflowPunct/>
              <w:topLinePunct w:val="0"/>
              <w:autoSpaceDE/>
              <w:autoSpaceDN/>
              <w:bidi w:val="0"/>
              <w:spacing w:line="40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 xml:space="preserve">地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址：</w:t>
            </w:r>
            <w:r>
              <w:rPr>
                <w:rFonts w:hint="eastAsia" w:ascii="仿宋" w:hAnsi="仿宋" w:eastAsia="仿宋" w:cs="仿宋"/>
                <w:color w:val="auto"/>
                <w:kern w:val="0"/>
                <w:sz w:val="24"/>
                <w:szCs w:val="24"/>
                <w:highlight w:val="none"/>
                <w:lang w:val="en-US" w:eastAsia="zh-CN"/>
              </w:rPr>
              <w:t>衡阳市蒸湘区华新大道（西二环）11号</w:t>
            </w:r>
          </w:p>
          <w:p w14:paraId="1AC28CEC">
            <w:pPr>
              <w:keepNext w:val="0"/>
              <w:keepLines w:val="0"/>
              <w:pageBreakBefore w:val="0"/>
              <w:widowControl/>
              <w:kinsoku/>
              <w:wordWrap/>
              <w:overflowPunct/>
              <w:topLinePunct w:val="0"/>
              <w:autoSpaceDE/>
              <w:autoSpaceDN/>
              <w:bidi w:val="0"/>
              <w:spacing w:line="40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联</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人：</w:t>
            </w:r>
            <w:r>
              <w:rPr>
                <w:rFonts w:hint="eastAsia" w:ascii="仿宋" w:hAnsi="仿宋" w:eastAsia="仿宋" w:cs="仿宋"/>
                <w:color w:val="auto"/>
                <w:kern w:val="0"/>
                <w:sz w:val="24"/>
                <w:szCs w:val="24"/>
                <w:highlight w:val="none"/>
                <w:lang w:val="en-US" w:eastAsia="zh-CN"/>
              </w:rPr>
              <w:t>罗先生</w:t>
            </w:r>
          </w:p>
          <w:p w14:paraId="76AE51B3">
            <w:pPr>
              <w:keepNext w:val="0"/>
              <w:keepLines w:val="0"/>
              <w:pageBreakBefore w:val="0"/>
              <w:widowControl/>
              <w:kinsoku/>
              <w:wordWrap/>
              <w:overflowPunct/>
              <w:topLinePunct w:val="0"/>
              <w:autoSpaceDE/>
              <w:autoSpaceDN/>
              <w:bidi w:val="0"/>
              <w:adjustRightInd/>
              <w:snapToGrid/>
              <w:spacing w:line="40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电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话：</w:t>
            </w:r>
            <w:r>
              <w:rPr>
                <w:rFonts w:hint="eastAsia" w:ascii="仿宋" w:hAnsi="仿宋" w:eastAsia="仿宋" w:cs="仿宋"/>
                <w:color w:val="auto"/>
                <w:kern w:val="0"/>
                <w:sz w:val="24"/>
                <w:szCs w:val="24"/>
                <w:highlight w:val="none"/>
                <w:lang w:val="en-US" w:eastAsia="zh-CN"/>
              </w:rPr>
              <w:t>0734-8888070</w:t>
            </w:r>
          </w:p>
        </w:tc>
      </w:tr>
      <w:tr w14:paraId="064BCE97">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867194A">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482" w:type="dxa"/>
            <w:tcBorders>
              <w:top w:val="single" w:color="000000" w:sz="4" w:space="0"/>
              <w:left w:val="nil"/>
              <w:bottom w:val="single" w:color="000000" w:sz="4" w:space="0"/>
              <w:right w:val="single" w:color="000000" w:sz="4" w:space="0"/>
            </w:tcBorders>
            <w:vAlign w:val="center"/>
          </w:tcPr>
          <w:p w14:paraId="5A9DC927">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887" w:type="dxa"/>
            <w:tcBorders>
              <w:top w:val="single" w:color="000000" w:sz="4" w:space="0"/>
              <w:left w:val="nil"/>
              <w:bottom w:val="single" w:color="000000" w:sz="4" w:space="0"/>
              <w:right w:val="single" w:color="000000" w:sz="4" w:space="0"/>
            </w:tcBorders>
            <w:vAlign w:val="center"/>
          </w:tcPr>
          <w:p w14:paraId="7B593A02">
            <w:pPr>
              <w:keepNext w:val="0"/>
              <w:keepLines w:val="0"/>
              <w:pageBreakBefore w:val="0"/>
              <w:widowControl/>
              <w:kinsoku/>
              <w:wordWrap/>
              <w:overflowPunct/>
              <w:topLinePunct w:val="0"/>
              <w:autoSpaceDE/>
              <w:autoSpaceDN/>
              <w:bidi w:val="0"/>
              <w:spacing w:line="400" w:lineRule="exact"/>
              <w:jc w:val="left"/>
              <w:rPr>
                <w:rFonts w:hint="eastAsia" w:ascii="仿宋" w:hAnsi="仿宋" w:eastAsia="仿宋" w:cs="仿宋"/>
                <w:color w:val="auto"/>
                <w:spacing w:val="15"/>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衡阳国投集团员工食堂劳务承包服务单位比选</w:t>
            </w:r>
          </w:p>
        </w:tc>
      </w:tr>
      <w:tr w14:paraId="4035AFA8">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F1668BC">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482" w:type="dxa"/>
            <w:tcBorders>
              <w:top w:val="single" w:color="000000" w:sz="4" w:space="0"/>
              <w:left w:val="nil"/>
              <w:bottom w:val="single" w:color="000000" w:sz="4" w:space="0"/>
              <w:right w:val="single" w:color="000000" w:sz="4" w:space="0"/>
            </w:tcBorders>
            <w:vAlign w:val="center"/>
          </w:tcPr>
          <w:p w14:paraId="5E1C6F51">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887" w:type="dxa"/>
            <w:tcBorders>
              <w:top w:val="single" w:color="000000" w:sz="4" w:space="0"/>
              <w:left w:val="nil"/>
              <w:bottom w:val="single" w:color="000000" w:sz="4" w:space="0"/>
              <w:right w:val="single" w:color="000000" w:sz="4" w:space="0"/>
            </w:tcBorders>
            <w:vAlign w:val="center"/>
          </w:tcPr>
          <w:p w14:paraId="71004415">
            <w:pPr>
              <w:keepNext w:val="0"/>
              <w:keepLines w:val="0"/>
              <w:pageBreakBefore w:val="0"/>
              <w:widowControl/>
              <w:kinsoku/>
              <w:wordWrap/>
              <w:overflowPunct/>
              <w:topLinePunct w:val="0"/>
              <w:autoSpaceDE/>
              <w:autoSpaceDN/>
              <w:bidi w:val="0"/>
              <w:spacing w:line="40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承包衡阳国投集团员工食堂劳务服务。由承包单位负责食堂的运行（制作国家法定工作日的早餐、中餐及加班工作餐，不含食材和物资采购）。服务场地包含厨房、餐厅、包厢等设施设备，以现状为准，具体服务内容在合同中约定。</w:t>
            </w:r>
          </w:p>
        </w:tc>
      </w:tr>
      <w:tr w14:paraId="1C44259E">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06BBAF9">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482" w:type="dxa"/>
            <w:tcBorders>
              <w:top w:val="single" w:color="000000" w:sz="4" w:space="0"/>
              <w:left w:val="nil"/>
              <w:bottom w:val="single" w:color="000000" w:sz="4" w:space="0"/>
              <w:right w:val="single" w:color="000000" w:sz="4" w:space="0"/>
            </w:tcBorders>
            <w:vAlign w:val="center"/>
          </w:tcPr>
          <w:p w14:paraId="5494EF80">
            <w:pPr>
              <w:keepNext w:val="0"/>
              <w:keepLines w:val="0"/>
              <w:pageBreakBefore w:val="0"/>
              <w:widowControl/>
              <w:kinsoku/>
              <w:wordWrap/>
              <w:overflowPunct/>
              <w:topLinePunct w:val="0"/>
              <w:autoSpaceDE/>
              <w:autoSpaceDN/>
              <w:bidi w:val="0"/>
              <w:adjustRightInd/>
              <w:snapToGrid/>
              <w:spacing w:line="40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887" w:type="dxa"/>
            <w:tcBorders>
              <w:top w:val="single" w:color="000000" w:sz="4" w:space="0"/>
              <w:left w:val="nil"/>
              <w:bottom w:val="single" w:color="000000" w:sz="4" w:space="0"/>
              <w:right w:val="single" w:color="000000" w:sz="4" w:space="0"/>
            </w:tcBorders>
            <w:vAlign w:val="center"/>
          </w:tcPr>
          <w:p w14:paraId="7CB9F7A7">
            <w:pPr>
              <w:keepNext w:val="0"/>
              <w:keepLines w:val="0"/>
              <w:pageBreakBefore w:val="0"/>
              <w:widowControl/>
              <w:kinsoku/>
              <w:wordWrap/>
              <w:overflowPunct/>
              <w:topLinePunct w:val="0"/>
              <w:autoSpaceDE/>
              <w:autoSpaceDN/>
              <w:bidi w:val="0"/>
              <w:adjustRightInd/>
              <w:snapToGrid/>
              <w:spacing w:line="40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自有资金</w:t>
            </w:r>
          </w:p>
        </w:tc>
      </w:tr>
      <w:tr w14:paraId="497F666F">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DD87FA2">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482" w:type="dxa"/>
            <w:tcBorders>
              <w:top w:val="single" w:color="000000" w:sz="4" w:space="0"/>
              <w:left w:val="nil"/>
              <w:bottom w:val="single" w:color="000000" w:sz="4" w:space="0"/>
              <w:right w:val="single" w:color="000000" w:sz="4" w:space="0"/>
            </w:tcBorders>
            <w:vAlign w:val="center"/>
          </w:tcPr>
          <w:p w14:paraId="5D192EED">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比选范围</w:t>
            </w:r>
          </w:p>
        </w:tc>
        <w:tc>
          <w:tcPr>
            <w:tcW w:w="6887" w:type="dxa"/>
            <w:tcBorders>
              <w:top w:val="single" w:color="000000" w:sz="4" w:space="0"/>
              <w:left w:val="nil"/>
              <w:bottom w:val="single" w:color="000000" w:sz="4" w:space="0"/>
              <w:right w:val="single" w:color="000000" w:sz="4" w:space="0"/>
            </w:tcBorders>
            <w:vAlign w:val="center"/>
          </w:tcPr>
          <w:p w14:paraId="3C965BD8">
            <w:pPr>
              <w:keepNext w:val="0"/>
              <w:keepLines w:val="0"/>
              <w:pageBreakBefore w:val="0"/>
              <w:widowControl/>
              <w:kinsoku/>
              <w:wordWrap/>
              <w:overflowPunct/>
              <w:topLinePunct w:val="0"/>
              <w:autoSpaceDE/>
              <w:autoSpaceDN/>
              <w:bidi w:val="0"/>
              <w:spacing w:line="400" w:lineRule="exact"/>
              <w:jc w:val="left"/>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衡阳国投集团员工食堂就餐人员国家法定工作日的早餐、中餐及加班餐（晚餐和工作日以外的用餐）等。</w:t>
            </w:r>
          </w:p>
        </w:tc>
      </w:tr>
      <w:tr w14:paraId="0931FF5C">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24307EF">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482" w:type="dxa"/>
            <w:tcBorders>
              <w:top w:val="single" w:color="000000" w:sz="4" w:space="0"/>
              <w:left w:val="nil"/>
              <w:bottom w:val="single" w:color="000000" w:sz="4" w:space="0"/>
              <w:right w:val="single" w:color="000000" w:sz="4" w:space="0"/>
            </w:tcBorders>
            <w:vAlign w:val="center"/>
          </w:tcPr>
          <w:p w14:paraId="5C2430BC">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6887" w:type="dxa"/>
            <w:tcBorders>
              <w:top w:val="single" w:color="000000" w:sz="4" w:space="0"/>
              <w:left w:val="nil"/>
              <w:bottom w:val="single" w:color="000000" w:sz="4" w:space="0"/>
              <w:right w:val="single" w:color="000000" w:sz="4" w:space="0"/>
            </w:tcBorders>
            <w:vAlign w:val="center"/>
          </w:tcPr>
          <w:p w14:paraId="19AE9E2B">
            <w:pPr>
              <w:keepNext w:val="0"/>
              <w:keepLines w:val="0"/>
              <w:pageBreakBefore w:val="0"/>
              <w:widowControl/>
              <w:kinsoku/>
              <w:wordWrap/>
              <w:overflowPunct/>
              <w:topLinePunct w:val="0"/>
              <w:autoSpaceDE/>
              <w:autoSpaceDN/>
              <w:bidi w:val="0"/>
              <w:spacing w:line="400" w:lineRule="exact"/>
              <w:jc w:val="left"/>
              <w:rPr>
                <w:rFonts w:hint="default"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2026年1月1日至2026年12月31日，共1年。</w:t>
            </w:r>
          </w:p>
        </w:tc>
      </w:tr>
      <w:tr w14:paraId="30B2FA41">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52B718C">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482" w:type="dxa"/>
            <w:tcBorders>
              <w:top w:val="single" w:color="000000" w:sz="4" w:space="0"/>
              <w:left w:val="nil"/>
              <w:bottom w:val="single" w:color="000000" w:sz="4" w:space="0"/>
              <w:right w:val="single" w:color="000000" w:sz="4" w:space="0"/>
            </w:tcBorders>
            <w:vAlign w:val="center"/>
          </w:tcPr>
          <w:p w14:paraId="0427234B">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887" w:type="dxa"/>
            <w:tcBorders>
              <w:top w:val="single" w:color="000000" w:sz="4" w:space="0"/>
              <w:left w:val="nil"/>
              <w:bottom w:val="single" w:color="000000" w:sz="4" w:space="0"/>
              <w:right w:val="single" w:color="000000" w:sz="4" w:space="0"/>
            </w:tcBorders>
            <w:vAlign w:val="center"/>
          </w:tcPr>
          <w:p w14:paraId="39AD48FD">
            <w:pPr>
              <w:keepNext w:val="0"/>
              <w:keepLines w:val="0"/>
              <w:pageBreakBefore w:val="0"/>
              <w:widowControl/>
              <w:kinsoku/>
              <w:wordWrap/>
              <w:overflowPunct/>
              <w:topLinePunct w:val="0"/>
              <w:autoSpaceDE/>
              <w:autoSpaceDN/>
              <w:bidi w:val="0"/>
              <w:adjustRightInd/>
              <w:snapToGrid/>
              <w:spacing w:line="40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1.具有独立法人资格并依法取得营业执照，营业执照处于有效期。</w:t>
            </w:r>
          </w:p>
          <w:p w14:paraId="05DB54B0">
            <w:pPr>
              <w:keepNext w:val="0"/>
              <w:keepLines w:val="0"/>
              <w:pageBreakBefore w:val="0"/>
              <w:widowControl/>
              <w:kinsoku/>
              <w:wordWrap/>
              <w:overflowPunct/>
              <w:topLinePunct w:val="0"/>
              <w:autoSpaceDE/>
              <w:autoSpaceDN/>
              <w:bidi w:val="0"/>
              <w:adjustRightInd/>
              <w:snapToGrid/>
              <w:spacing w:line="40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2.资质要求：具备行政审批主管部门颁发的食品经营许可证书，证书处于有效期。</w:t>
            </w:r>
          </w:p>
          <w:p w14:paraId="74D4483B">
            <w:pPr>
              <w:keepNext w:val="0"/>
              <w:keepLines w:val="0"/>
              <w:pageBreakBefore w:val="0"/>
              <w:widowControl/>
              <w:kinsoku/>
              <w:wordWrap/>
              <w:overflowPunct/>
              <w:topLinePunct w:val="0"/>
              <w:autoSpaceDE/>
              <w:autoSpaceDN/>
              <w:bidi w:val="0"/>
              <w:adjustRightInd/>
              <w:snapToGrid/>
              <w:spacing w:line="40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3.类似项目业绩要求：</w:t>
            </w:r>
          </w:p>
          <w:p w14:paraId="6F93CE40">
            <w:pPr>
              <w:keepNext w:val="0"/>
              <w:keepLines w:val="0"/>
              <w:pageBreakBefore w:val="0"/>
              <w:widowControl/>
              <w:kinsoku/>
              <w:wordWrap/>
              <w:overflowPunct/>
              <w:topLinePunct w:val="0"/>
              <w:autoSpaceDE/>
              <w:autoSpaceDN/>
              <w:bidi w:val="0"/>
              <w:adjustRightInd/>
              <w:snapToGrid/>
              <w:spacing w:line="40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□不提供。</w:t>
            </w:r>
          </w:p>
          <w:p w14:paraId="7A824020">
            <w:pPr>
              <w:keepNext w:val="0"/>
              <w:keepLines w:val="0"/>
              <w:pageBreakBefore w:val="0"/>
              <w:widowControl/>
              <w:kinsoku/>
              <w:wordWrap/>
              <w:overflowPunct/>
              <w:topLinePunct w:val="0"/>
              <w:autoSpaceDE/>
              <w:autoSpaceDN/>
              <w:bidi w:val="0"/>
              <w:adjustRightInd/>
              <w:snapToGrid/>
              <w:spacing w:line="40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提供</w:t>
            </w: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近3年内（2022年11月至2025年11月）不少于1个（1至3个）党政机关、企事业单位、银行、医院、学校、</w:t>
            </w:r>
            <w:r>
              <w:rPr>
                <w:rFonts w:hint="eastAsia" w:ascii="仿宋" w:hAnsi="仿宋" w:eastAsia="仿宋" w:cs="仿宋"/>
                <w:b w:val="0"/>
                <w:bCs w:val="0"/>
                <w:spacing w:val="0"/>
                <w:kern w:val="2"/>
                <w:position w:val="0"/>
                <w:sz w:val="24"/>
                <w:szCs w:val="24"/>
                <w:highlight w:val="none"/>
                <w:lang w:val="en-US" w:eastAsia="zh-CN" w:bidi="ar-SA"/>
              </w:rPr>
              <w:t>工厂</w:t>
            </w:r>
            <w:r>
              <w:rPr>
                <w:rFonts w:hint="default" w:ascii="仿宋" w:hAnsi="仿宋" w:eastAsia="仿宋" w:cs="仿宋"/>
                <w:b w:val="0"/>
                <w:bCs w:val="0"/>
                <w:spacing w:val="0"/>
                <w:kern w:val="2"/>
                <w:position w:val="0"/>
                <w:sz w:val="24"/>
                <w:szCs w:val="24"/>
                <w:highlight w:val="none"/>
                <w:lang w:val="en-US" w:eastAsia="zh-CN" w:bidi="ar-SA"/>
              </w:rPr>
              <w:t>食堂劳务</w:t>
            </w:r>
            <w:r>
              <w:rPr>
                <w:rFonts w:hint="eastAsia" w:ascii="仿宋" w:hAnsi="仿宋" w:eastAsia="仿宋" w:cs="仿宋"/>
                <w:b w:val="0"/>
                <w:bCs w:val="0"/>
                <w:spacing w:val="0"/>
                <w:kern w:val="2"/>
                <w:position w:val="0"/>
                <w:sz w:val="24"/>
                <w:szCs w:val="24"/>
                <w:highlight w:val="none"/>
                <w:lang w:val="en-US" w:eastAsia="zh-CN" w:bidi="ar-SA"/>
              </w:rPr>
              <w:t>承包</w:t>
            </w:r>
            <w:r>
              <w:rPr>
                <w:rFonts w:hint="default" w:ascii="仿宋" w:hAnsi="仿宋" w:eastAsia="仿宋" w:cs="仿宋"/>
                <w:b w:val="0"/>
                <w:bCs w:val="0"/>
                <w:spacing w:val="0"/>
                <w:kern w:val="2"/>
                <w:position w:val="0"/>
                <w:sz w:val="24"/>
                <w:szCs w:val="24"/>
                <w:highlight w:val="none"/>
                <w:lang w:val="en-US" w:eastAsia="zh-CN" w:bidi="ar-SA"/>
              </w:rPr>
              <w:t>类似项目业绩。</w:t>
            </w:r>
          </w:p>
          <w:p w14:paraId="68CFC347">
            <w:pPr>
              <w:keepNext w:val="0"/>
              <w:keepLines w:val="0"/>
              <w:pageBreakBefore w:val="0"/>
              <w:widowControl/>
              <w:kinsoku/>
              <w:wordWrap/>
              <w:overflowPunct/>
              <w:topLinePunct w:val="0"/>
              <w:autoSpaceDE/>
              <w:autoSpaceDN/>
              <w:bidi w:val="0"/>
              <w:adjustRightInd/>
              <w:snapToGrid/>
              <w:spacing w:line="40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类似项目业绩是指</w:t>
            </w: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党政机关、企事业单位、银行、医院、学校、工厂的食堂劳务承包业绩。</w:t>
            </w:r>
          </w:p>
          <w:p w14:paraId="6ED16F2D">
            <w:pPr>
              <w:keepNext w:val="0"/>
              <w:keepLines w:val="0"/>
              <w:pageBreakBefore w:val="0"/>
              <w:widowControl/>
              <w:kinsoku/>
              <w:wordWrap/>
              <w:overflowPunct/>
              <w:topLinePunct w:val="0"/>
              <w:autoSpaceDE/>
              <w:autoSpaceDN/>
              <w:bidi w:val="0"/>
              <w:adjustRightInd/>
              <w:snapToGrid/>
              <w:spacing w:line="40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4.项目负责人要求：</w:t>
            </w:r>
          </w:p>
          <w:p w14:paraId="25092450">
            <w:pPr>
              <w:keepNext w:val="0"/>
              <w:keepLines w:val="0"/>
              <w:pageBreakBefore w:val="0"/>
              <w:widowControl/>
              <w:kinsoku/>
              <w:wordWrap/>
              <w:overflowPunct/>
              <w:topLinePunct w:val="0"/>
              <w:autoSpaceDE/>
              <w:autoSpaceDN/>
              <w:bidi w:val="0"/>
              <w:adjustRightInd/>
              <w:snapToGrid/>
              <w:spacing w:line="40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□不提供。</w:t>
            </w:r>
          </w:p>
          <w:p w14:paraId="2E601207">
            <w:pPr>
              <w:keepNext w:val="0"/>
              <w:keepLines w:val="0"/>
              <w:pageBreakBefore w:val="0"/>
              <w:widowControl/>
              <w:kinsoku/>
              <w:wordWrap/>
              <w:overflowPunct/>
              <w:topLinePunct w:val="0"/>
              <w:autoSpaceDE/>
              <w:autoSpaceDN/>
              <w:bidi w:val="0"/>
              <w:adjustRightInd/>
              <w:snapToGrid/>
              <w:spacing w:line="40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提供</w:t>
            </w: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拟任项目负责人须具有三级及以上厨师</w:t>
            </w:r>
            <w:r>
              <w:rPr>
                <w:rFonts w:hint="eastAsia" w:ascii="仿宋" w:hAnsi="仿宋" w:eastAsia="仿宋" w:cs="仿宋"/>
                <w:b w:val="0"/>
                <w:bCs w:val="0"/>
                <w:spacing w:val="0"/>
                <w:kern w:val="2"/>
                <w:position w:val="0"/>
                <w:sz w:val="24"/>
                <w:szCs w:val="24"/>
                <w:highlight w:val="none"/>
                <w:lang w:val="en-US" w:eastAsia="zh-CN" w:bidi="ar-SA"/>
              </w:rPr>
              <w:t>证书</w:t>
            </w:r>
            <w:r>
              <w:rPr>
                <w:rFonts w:hint="default" w:ascii="仿宋" w:hAnsi="仿宋" w:eastAsia="仿宋" w:cs="仿宋"/>
                <w:b w:val="0"/>
                <w:bCs w:val="0"/>
                <w:spacing w:val="0"/>
                <w:kern w:val="2"/>
                <w:position w:val="0"/>
                <w:sz w:val="24"/>
                <w:szCs w:val="24"/>
                <w:highlight w:val="none"/>
                <w:lang w:val="en-US" w:eastAsia="zh-CN" w:bidi="ar-SA"/>
              </w:rPr>
              <w:t>（证书</w:t>
            </w: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职称或执业资格等）</w:t>
            </w: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且为本单位在职员工，并提供劳动和社会保障部门出具的投标截止时间前近半年连续6个月（2025年6月至2025年11月）的社保证明。</w:t>
            </w:r>
          </w:p>
          <w:p w14:paraId="2C9C7537">
            <w:pPr>
              <w:keepNext w:val="0"/>
              <w:keepLines w:val="0"/>
              <w:pageBreakBefore w:val="0"/>
              <w:widowControl/>
              <w:kinsoku/>
              <w:wordWrap/>
              <w:overflowPunct/>
              <w:topLinePunct w:val="0"/>
              <w:autoSpaceDE/>
              <w:autoSpaceDN/>
              <w:bidi w:val="0"/>
              <w:adjustRightInd/>
              <w:snapToGrid/>
              <w:spacing w:line="40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5.其他人员要求：</w:t>
            </w:r>
          </w:p>
          <w:p w14:paraId="28321475">
            <w:pPr>
              <w:keepNext w:val="0"/>
              <w:keepLines w:val="0"/>
              <w:pageBreakBefore w:val="0"/>
              <w:widowControl/>
              <w:kinsoku/>
              <w:wordWrap/>
              <w:overflowPunct/>
              <w:topLinePunct w:val="0"/>
              <w:autoSpaceDE/>
              <w:autoSpaceDN/>
              <w:bidi w:val="0"/>
              <w:adjustRightInd/>
              <w:snapToGrid/>
              <w:spacing w:line="40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☑不提供。</w:t>
            </w:r>
          </w:p>
          <w:p w14:paraId="175A9F79">
            <w:pPr>
              <w:keepNext w:val="0"/>
              <w:keepLines w:val="0"/>
              <w:pageBreakBefore w:val="0"/>
              <w:widowControl/>
              <w:kinsoku/>
              <w:wordWrap/>
              <w:overflowPunct/>
              <w:topLinePunct w:val="0"/>
              <w:autoSpaceDE/>
              <w:autoSpaceDN/>
              <w:bidi w:val="0"/>
              <w:adjustRightInd/>
              <w:snapToGrid/>
              <w:spacing w:line="40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□提供</w:t>
            </w:r>
            <w:r>
              <w:rPr>
                <w:rFonts w:hint="eastAsia" w:ascii="仿宋" w:hAnsi="仿宋" w:eastAsia="仿宋" w:cs="仿宋"/>
                <w:b w:val="0"/>
                <w:bCs w:val="0"/>
                <w:spacing w:val="0"/>
                <w:kern w:val="2"/>
                <w:position w:val="0"/>
                <w:sz w:val="24"/>
                <w:szCs w:val="24"/>
                <w:highlight w:val="none"/>
                <w:lang w:val="en-US" w:eastAsia="zh-CN" w:bidi="ar-SA"/>
              </w:rPr>
              <w:t>：</w:t>
            </w:r>
            <w:r>
              <w:rPr>
                <w:rFonts w:hint="default" w:ascii="仿宋" w:hAnsi="仿宋" w:eastAsia="仿宋" w:cs="仿宋"/>
                <w:b w:val="0"/>
                <w:bCs w:val="0"/>
                <w:spacing w:val="0"/>
                <w:kern w:val="2"/>
                <w:position w:val="0"/>
                <w:sz w:val="24"/>
                <w:szCs w:val="24"/>
                <w:highlight w:val="none"/>
                <w:lang w:val="en-US" w:eastAsia="zh-CN" w:bidi="ar-SA"/>
              </w:rPr>
              <w:t xml:space="preserve">              。</w:t>
            </w:r>
          </w:p>
          <w:p w14:paraId="2BBF6AC2">
            <w:pPr>
              <w:keepNext w:val="0"/>
              <w:keepLines w:val="0"/>
              <w:pageBreakBefore w:val="0"/>
              <w:widowControl/>
              <w:kinsoku/>
              <w:wordWrap/>
              <w:overflowPunct/>
              <w:topLinePunct w:val="0"/>
              <w:autoSpaceDE/>
              <w:autoSpaceDN/>
              <w:bidi w:val="0"/>
              <w:adjustRightInd/>
              <w:snapToGrid/>
              <w:spacing w:line="40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6.联合体要求：本次比选不接受联合体参加。</w:t>
            </w:r>
          </w:p>
          <w:p w14:paraId="43407D9E">
            <w:pPr>
              <w:keepNext w:val="0"/>
              <w:keepLines w:val="0"/>
              <w:pageBreakBefore w:val="0"/>
              <w:widowControl/>
              <w:kinsoku/>
              <w:wordWrap/>
              <w:overflowPunct/>
              <w:topLinePunct w:val="0"/>
              <w:autoSpaceDE/>
              <w:autoSpaceDN/>
              <w:bidi w:val="0"/>
              <w:adjustRightInd/>
              <w:snapToGrid/>
              <w:spacing w:line="400" w:lineRule="exact"/>
              <w:jc w:val="left"/>
              <w:rPr>
                <w:rFonts w:hint="default" w:ascii="仿宋" w:hAnsi="仿宋" w:eastAsia="仿宋" w:cs="仿宋"/>
                <w:b w:val="0"/>
                <w:bCs w:val="0"/>
                <w:spacing w:val="0"/>
                <w:kern w:val="2"/>
                <w:position w:val="0"/>
                <w:sz w:val="24"/>
                <w:szCs w:val="24"/>
                <w:highlight w:val="non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7.其他要求：无。</w:t>
            </w:r>
          </w:p>
        </w:tc>
      </w:tr>
      <w:tr w14:paraId="3436D4BC">
        <w:tblPrEx>
          <w:tblCellMar>
            <w:top w:w="0" w:type="dxa"/>
            <w:left w:w="108" w:type="dxa"/>
            <w:bottom w:w="0" w:type="dxa"/>
            <w:right w:w="108" w:type="dxa"/>
          </w:tblCellMar>
        </w:tblPrEx>
        <w:trPr>
          <w:trHeight w:val="102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54157F3">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482" w:type="dxa"/>
            <w:tcBorders>
              <w:top w:val="single" w:color="000000" w:sz="4" w:space="0"/>
              <w:left w:val="nil"/>
              <w:bottom w:val="single" w:color="000000" w:sz="4" w:space="0"/>
              <w:right w:val="single" w:color="000000" w:sz="4" w:space="0"/>
            </w:tcBorders>
            <w:vAlign w:val="center"/>
          </w:tcPr>
          <w:p w14:paraId="77E0BF61">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sz w:val="24"/>
                <w:szCs w:val="24"/>
                <w:highlight w:val="none"/>
                <w:lang w:val="en-US" w:eastAsia="zh-CN"/>
              </w:rPr>
            </w:pPr>
            <w:r>
              <w:rPr>
                <w:rFonts w:hint="default" w:ascii="仿宋" w:hAnsi="仿宋" w:eastAsia="仿宋" w:cs="仿宋"/>
                <w:b w:val="0"/>
                <w:bCs w:val="0"/>
                <w:spacing w:val="0"/>
                <w:kern w:val="2"/>
                <w:position w:val="0"/>
                <w:sz w:val="24"/>
                <w:szCs w:val="24"/>
                <w:highlight w:val="none"/>
                <w:lang w:val="en-US" w:eastAsia="zh-CN" w:bidi="ar-SA"/>
              </w:rPr>
              <w:t>信誉要求</w:t>
            </w:r>
          </w:p>
        </w:tc>
        <w:tc>
          <w:tcPr>
            <w:tcW w:w="6887" w:type="dxa"/>
            <w:tcBorders>
              <w:top w:val="single" w:color="000000" w:sz="4" w:space="0"/>
              <w:left w:val="nil"/>
              <w:bottom w:val="single" w:color="000000" w:sz="4" w:space="0"/>
              <w:right w:val="single" w:color="000000" w:sz="4" w:space="0"/>
            </w:tcBorders>
            <w:vAlign w:val="center"/>
          </w:tcPr>
          <w:p w14:paraId="5593DD28">
            <w:pPr>
              <w:keepNext w:val="0"/>
              <w:keepLines w:val="0"/>
              <w:pageBreakBefore w:val="0"/>
              <w:widowControl/>
              <w:kinsoku/>
              <w:wordWrap/>
              <w:overflowPunct/>
              <w:topLinePunct w:val="0"/>
              <w:autoSpaceDE/>
              <w:autoSpaceDN/>
              <w:bidi w:val="0"/>
              <w:spacing w:line="400" w:lineRule="exact"/>
              <w:rPr>
                <w:rFonts w:hint="default" w:ascii="仿宋" w:hAnsi="仿宋" w:eastAsia="仿宋" w:cs="仿宋"/>
                <w:b w:val="0"/>
                <w:bCs w:val="0"/>
                <w:spacing w:val="0"/>
                <w:kern w:val="2"/>
                <w:position w:val="0"/>
                <w:sz w:val="24"/>
                <w:szCs w:val="24"/>
                <w:highlight w:val="none"/>
                <w:u w:val="singl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近三年内，在经营活动中无不良</w:t>
            </w:r>
            <w:r>
              <w:rPr>
                <w:rFonts w:hint="eastAsia" w:ascii="仿宋" w:hAnsi="仿宋" w:eastAsia="仿宋" w:cs="仿宋"/>
                <w:b w:val="0"/>
                <w:bCs w:val="0"/>
                <w:spacing w:val="0"/>
                <w:kern w:val="2"/>
                <w:position w:val="0"/>
                <w:sz w:val="24"/>
                <w:szCs w:val="24"/>
                <w:highlight w:val="none"/>
                <w:lang w:val="en-US" w:eastAsia="zh-CN" w:bidi="ar-SA"/>
              </w:rPr>
              <w:t>行为</w:t>
            </w:r>
            <w:r>
              <w:rPr>
                <w:rFonts w:hint="default" w:ascii="仿宋" w:hAnsi="仿宋" w:eastAsia="仿宋" w:cs="仿宋"/>
                <w:b w:val="0"/>
                <w:bCs w:val="0"/>
                <w:spacing w:val="0"/>
                <w:kern w:val="2"/>
                <w:position w:val="0"/>
                <w:sz w:val="24"/>
                <w:szCs w:val="24"/>
                <w:highlight w:val="none"/>
                <w:lang w:val="en-US" w:eastAsia="zh-CN" w:bidi="ar-SA"/>
              </w:rPr>
              <w:t>记录</w:t>
            </w:r>
            <w:r>
              <w:rPr>
                <w:rFonts w:hint="eastAsia" w:ascii="仿宋" w:hAnsi="仿宋" w:eastAsia="仿宋" w:cs="仿宋"/>
                <w:b w:val="0"/>
                <w:bCs w:val="0"/>
                <w:spacing w:val="0"/>
                <w:kern w:val="2"/>
                <w:position w:val="0"/>
                <w:sz w:val="24"/>
                <w:szCs w:val="24"/>
                <w:highlight w:val="none"/>
                <w:lang w:val="en-US" w:eastAsia="zh-CN" w:bidi="ar-SA"/>
              </w:rPr>
              <w:t>（包括行政处罚、经营异常、严重失信等均视为不良行为记录）</w:t>
            </w:r>
            <w:r>
              <w:rPr>
                <w:rFonts w:hint="default" w:ascii="仿宋" w:hAnsi="仿宋" w:eastAsia="仿宋" w:cs="仿宋"/>
                <w:b w:val="0"/>
                <w:bCs w:val="0"/>
                <w:spacing w:val="0"/>
                <w:kern w:val="2"/>
                <w:position w:val="0"/>
                <w:sz w:val="24"/>
                <w:szCs w:val="24"/>
                <w:highlight w:val="none"/>
                <w:lang w:val="en-US" w:eastAsia="zh-CN" w:bidi="ar-SA"/>
              </w:rPr>
              <w:t>。</w:t>
            </w:r>
          </w:p>
        </w:tc>
      </w:tr>
      <w:tr w14:paraId="608E8726">
        <w:tblPrEx>
          <w:tblCellMar>
            <w:top w:w="0" w:type="dxa"/>
            <w:left w:w="108" w:type="dxa"/>
            <w:bottom w:w="0" w:type="dxa"/>
            <w:right w:w="108" w:type="dxa"/>
          </w:tblCellMar>
        </w:tblPrEx>
        <w:trPr>
          <w:trHeight w:val="94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0F53298">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482" w:type="dxa"/>
            <w:tcBorders>
              <w:top w:val="single" w:color="000000" w:sz="4" w:space="0"/>
              <w:left w:val="nil"/>
              <w:bottom w:val="single" w:color="000000" w:sz="4" w:space="0"/>
              <w:right w:val="single" w:color="000000" w:sz="4" w:space="0"/>
            </w:tcBorders>
            <w:vAlign w:val="center"/>
          </w:tcPr>
          <w:p w14:paraId="722C6F67">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sz w:val="24"/>
                <w:szCs w:val="24"/>
                <w:highlight w:val="none"/>
                <w:lang w:val="en-US" w:eastAsia="zh-CN"/>
              </w:rPr>
            </w:pPr>
            <w:r>
              <w:rPr>
                <w:rFonts w:hint="default" w:ascii="仿宋" w:hAnsi="仿宋" w:eastAsia="仿宋" w:cs="仿宋"/>
                <w:b w:val="0"/>
                <w:bCs w:val="0"/>
                <w:spacing w:val="0"/>
                <w:kern w:val="2"/>
                <w:position w:val="0"/>
                <w:sz w:val="24"/>
                <w:szCs w:val="24"/>
                <w:highlight w:val="none"/>
                <w:lang w:val="en-US" w:eastAsia="zh-CN" w:bidi="ar-SA"/>
              </w:rPr>
              <w:t>关联要求</w:t>
            </w:r>
          </w:p>
        </w:tc>
        <w:tc>
          <w:tcPr>
            <w:tcW w:w="6887" w:type="dxa"/>
            <w:tcBorders>
              <w:top w:val="single" w:color="000000" w:sz="4" w:space="0"/>
              <w:left w:val="nil"/>
              <w:bottom w:val="single" w:color="000000" w:sz="4" w:space="0"/>
              <w:right w:val="single" w:color="000000" w:sz="4" w:space="0"/>
            </w:tcBorders>
            <w:vAlign w:val="center"/>
          </w:tcPr>
          <w:p w14:paraId="4BA49DA8">
            <w:pPr>
              <w:keepNext w:val="0"/>
              <w:keepLines w:val="0"/>
              <w:pageBreakBefore w:val="0"/>
              <w:widowControl/>
              <w:kinsoku/>
              <w:wordWrap/>
              <w:overflowPunct/>
              <w:topLinePunct w:val="0"/>
              <w:autoSpaceDE/>
              <w:autoSpaceDN/>
              <w:bidi w:val="0"/>
              <w:adjustRightInd/>
              <w:snapToGrid/>
              <w:spacing w:line="400" w:lineRule="exact"/>
              <w:jc w:val="left"/>
              <w:rPr>
                <w:rFonts w:hint="default" w:ascii="仿宋" w:hAnsi="仿宋" w:eastAsia="仿宋" w:cs="仿宋"/>
                <w:b w:val="0"/>
                <w:bCs w:val="0"/>
                <w:spacing w:val="0"/>
                <w:kern w:val="2"/>
                <w:position w:val="0"/>
                <w:sz w:val="24"/>
                <w:szCs w:val="24"/>
                <w:highlight w:val="none"/>
                <w:u w:val="single"/>
                <w:lang w:val="en-US" w:eastAsia="zh-CN" w:bidi="ar-SA"/>
              </w:rPr>
            </w:pPr>
            <w:r>
              <w:rPr>
                <w:rFonts w:hint="default" w:ascii="仿宋" w:hAnsi="仿宋" w:eastAsia="仿宋" w:cs="仿宋"/>
                <w:b w:val="0"/>
                <w:bCs w:val="0"/>
                <w:spacing w:val="0"/>
                <w:kern w:val="2"/>
                <w:position w:val="0"/>
                <w:sz w:val="24"/>
                <w:szCs w:val="24"/>
                <w:highlight w:val="none"/>
                <w:lang w:val="en-US" w:eastAsia="zh-CN" w:bidi="ar-SA"/>
              </w:rPr>
              <w:t>参选单位法定代表人</w:t>
            </w:r>
            <w:r>
              <w:rPr>
                <w:rFonts w:hint="eastAsia" w:ascii="仿宋" w:hAnsi="仿宋" w:eastAsia="仿宋" w:cs="仿宋"/>
                <w:b w:val="0"/>
                <w:bCs w:val="0"/>
                <w:spacing w:val="0"/>
                <w:kern w:val="2"/>
                <w:position w:val="0"/>
                <w:sz w:val="24"/>
                <w:szCs w:val="24"/>
                <w:highlight w:val="none"/>
                <w:lang w:val="en-US" w:eastAsia="zh-CN" w:bidi="ar-SA"/>
              </w:rPr>
              <w:t>或负责人</w:t>
            </w:r>
            <w:r>
              <w:rPr>
                <w:rFonts w:hint="default" w:ascii="仿宋" w:hAnsi="仿宋" w:eastAsia="仿宋" w:cs="仿宋"/>
                <w:b w:val="0"/>
                <w:bCs w:val="0"/>
                <w:spacing w:val="0"/>
                <w:kern w:val="2"/>
                <w:position w:val="0"/>
                <w:sz w:val="24"/>
                <w:szCs w:val="24"/>
                <w:highlight w:val="none"/>
                <w:lang w:val="en-US" w:eastAsia="zh-CN" w:bidi="ar-SA"/>
              </w:rPr>
              <w:t>为同一人或者存在控股、管理关系的不同参选人，不得同时参加本次比选。</w:t>
            </w:r>
          </w:p>
        </w:tc>
      </w:tr>
      <w:tr w14:paraId="1E87CDBF">
        <w:tblPrEx>
          <w:tblCellMar>
            <w:top w:w="0" w:type="dxa"/>
            <w:left w:w="108" w:type="dxa"/>
            <w:bottom w:w="0" w:type="dxa"/>
            <w:right w:w="108" w:type="dxa"/>
          </w:tblCellMar>
        </w:tblPrEx>
        <w:trPr>
          <w:trHeight w:val="11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2C73A27">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1482" w:type="dxa"/>
            <w:tcBorders>
              <w:top w:val="single" w:color="000000" w:sz="4" w:space="0"/>
              <w:left w:val="nil"/>
              <w:bottom w:val="single" w:color="000000" w:sz="4" w:space="0"/>
              <w:right w:val="single" w:color="000000" w:sz="4" w:space="0"/>
            </w:tcBorders>
          </w:tcPr>
          <w:p w14:paraId="481F526F">
            <w:pPr>
              <w:keepNext w:val="0"/>
              <w:keepLines w:val="0"/>
              <w:pageBreakBefore w:val="0"/>
              <w:widowControl/>
              <w:kinsoku/>
              <w:wordWrap/>
              <w:overflowPunct/>
              <w:topLinePunct w:val="0"/>
              <w:autoSpaceDE/>
              <w:autoSpaceDN/>
              <w:bidi w:val="0"/>
              <w:spacing w:line="40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提出</w:t>
            </w:r>
            <w:r>
              <w:rPr>
                <w:rFonts w:hint="eastAsia" w:ascii="仿宋" w:hAnsi="仿宋" w:eastAsia="仿宋" w:cs="仿宋"/>
                <w:color w:val="auto"/>
                <w:kern w:val="0"/>
                <w:sz w:val="24"/>
                <w:szCs w:val="24"/>
                <w:highlight w:val="none"/>
                <w:lang w:val="en-US" w:eastAsia="zh-CN"/>
              </w:rPr>
              <w:t>质疑</w:t>
            </w:r>
            <w:r>
              <w:rPr>
                <w:rFonts w:hint="eastAsia" w:ascii="仿宋" w:hAnsi="仿宋" w:eastAsia="仿宋" w:cs="仿宋"/>
                <w:color w:val="auto"/>
                <w:kern w:val="0"/>
                <w:sz w:val="24"/>
                <w:szCs w:val="24"/>
                <w:highlight w:val="none"/>
              </w:rPr>
              <w:t>的截止时间</w:t>
            </w:r>
          </w:p>
        </w:tc>
        <w:tc>
          <w:tcPr>
            <w:tcW w:w="6887" w:type="dxa"/>
            <w:tcBorders>
              <w:top w:val="single" w:color="000000" w:sz="4" w:space="0"/>
              <w:left w:val="nil"/>
              <w:bottom w:val="single" w:color="000000" w:sz="4" w:space="0"/>
              <w:right w:val="single" w:color="000000" w:sz="4" w:space="0"/>
            </w:tcBorders>
            <w:vAlign w:val="center"/>
          </w:tcPr>
          <w:p w14:paraId="315E0020">
            <w:pPr>
              <w:keepNext w:val="0"/>
              <w:keepLines w:val="0"/>
              <w:pageBreakBefore w:val="0"/>
              <w:widowControl/>
              <w:kinsoku/>
              <w:wordWrap/>
              <w:overflowPunct/>
              <w:topLinePunct w:val="0"/>
              <w:autoSpaceDE/>
              <w:autoSpaceDN/>
              <w:bidi w:val="0"/>
              <w:spacing w:line="400" w:lineRule="exact"/>
              <w:rPr>
                <w:rFonts w:hint="eastAsia" w:ascii="仿宋" w:hAnsi="仿宋" w:eastAsia="仿宋" w:cs="仿宋"/>
                <w:color w:val="auto"/>
                <w:kern w:val="0"/>
                <w:sz w:val="24"/>
                <w:szCs w:val="24"/>
                <w:highlight w:val="none"/>
                <w:lang w:eastAsia="zh-CN"/>
              </w:rPr>
            </w:pPr>
            <w:r>
              <w:rPr>
                <w:rFonts w:hint="eastAsia" w:ascii="仿宋" w:hAnsi="仿宋" w:eastAsia="仿宋" w:cs="仿宋"/>
                <w:spacing w:val="0"/>
                <w:position w:val="0"/>
                <w:sz w:val="28"/>
                <w:szCs w:val="28"/>
                <w:highlight w:val="none"/>
                <w:u w:val="single"/>
                <w:lang w:val="en-US" w:eastAsia="zh-CN"/>
              </w:rPr>
              <w:t xml:space="preserve">2025 </w:t>
            </w:r>
            <w:r>
              <w:rPr>
                <w:rFonts w:hint="eastAsia" w:ascii="仿宋" w:hAnsi="仿宋" w:eastAsia="仿宋" w:cs="仿宋"/>
                <w:b w:val="0"/>
                <w:bCs w:val="0"/>
                <w:spacing w:val="0"/>
                <w:kern w:val="2"/>
                <w:position w:val="0"/>
                <w:sz w:val="28"/>
                <w:szCs w:val="28"/>
                <w:highlight w:val="none"/>
                <w:lang w:val="en-US" w:eastAsia="zh-CN" w:bidi="ar-SA"/>
              </w:rPr>
              <w:t>年</w:t>
            </w:r>
            <w:r>
              <w:rPr>
                <w:rFonts w:hint="eastAsia" w:ascii="仿宋" w:hAnsi="仿宋" w:eastAsia="仿宋" w:cs="仿宋"/>
                <w:spacing w:val="0"/>
                <w:position w:val="0"/>
                <w:sz w:val="28"/>
                <w:szCs w:val="28"/>
                <w:highlight w:val="none"/>
                <w:u w:val="single"/>
                <w:lang w:val="en-US" w:eastAsia="zh-CN"/>
              </w:rPr>
              <w:t xml:space="preserve"> 12 </w:t>
            </w:r>
            <w:r>
              <w:rPr>
                <w:rFonts w:hint="eastAsia" w:ascii="仿宋" w:hAnsi="仿宋" w:eastAsia="仿宋" w:cs="仿宋"/>
                <w:spacing w:val="0"/>
                <w:position w:val="0"/>
                <w:sz w:val="28"/>
                <w:szCs w:val="28"/>
                <w:highlight w:val="none"/>
                <w:lang w:val="en-US" w:eastAsia="zh-CN"/>
              </w:rPr>
              <w:t>月</w:t>
            </w:r>
            <w:r>
              <w:rPr>
                <w:rFonts w:hint="eastAsia" w:ascii="仿宋" w:hAnsi="仿宋" w:eastAsia="仿宋" w:cs="仿宋"/>
                <w:spacing w:val="0"/>
                <w:position w:val="0"/>
                <w:sz w:val="28"/>
                <w:szCs w:val="28"/>
                <w:highlight w:val="none"/>
                <w:u w:val="single"/>
                <w:lang w:val="en-US" w:eastAsia="zh-CN"/>
              </w:rPr>
              <w:t xml:space="preserve"> 24 </w:t>
            </w:r>
            <w:r>
              <w:rPr>
                <w:rFonts w:hint="eastAsia" w:ascii="仿宋" w:hAnsi="仿宋" w:eastAsia="仿宋" w:cs="仿宋"/>
                <w:spacing w:val="0"/>
                <w:position w:val="0"/>
                <w:sz w:val="28"/>
                <w:szCs w:val="28"/>
                <w:highlight w:val="none"/>
                <w:u w:val="none"/>
                <w:lang w:val="en-US" w:eastAsia="zh-CN"/>
              </w:rPr>
              <w:t>日</w:t>
            </w:r>
            <w:r>
              <w:rPr>
                <w:rFonts w:hint="eastAsia" w:ascii="仿宋" w:hAnsi="仿宋" w:eastAsia="仿宋" w:cs="仿宋"/>
                <w:color w:val="auto"/>
                <w:kern w:val="0"/>
                <w:sz w:val="24"/>
                <w:szCs w:val="24"/>
                <w:highlight w:val="none"/>
                <w:lang w:eastAsia="zh-CN"/>
              </w:rPr>
              <w:t>17:00</w:t>
            </w:r>
            <w:r>
              <w:rPr>
                <w:rFonts w:hint="eastAsia" w:ascii="仿宋" w:hAnsi="仿宋" w:eastAsia="仿宋" w:cs="仿宋"/>
                <w:color w:val="auto"/>
                <w:kern w:val="0"/>
                <w:sz w:val="24"/>
                <w:szCs w:val="24"/>
                <w:highlight w:val="none"/>
              </w:rPr>
              <w:t>前</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北京时间，节假日休息</w:t>
            </w:r>
            <w:r>
              <w:rPr>
                <w:rFonts w:hint="eastAsia" w:ascii="仿宋" w:hAnsi="仿宋" w:eastAsia="仿宋" w:cs="仿宋"/>
                <w:color w:val="auto"/>
                <w:kern w:val="0"/>
                <w:sz w:val="24"/>
                <w:szCs w:val="24"/>
                <w:highlight w:val="none"/>
                <w:lang w:eastAsia="zh-CN"/>
              </w:rPr>
              <w:t>）</w:t>
            </w:r>
          </w:p>
        </w:tc>
      </w:tr>
      <w:tr w14:paraId="235123FE">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02F7107">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482" w:type="dxa"/>
            <w:tcBorders>
              <w:top w:val="single" w:color="000000" w:sz="4" w:space="0"/>
              <w:left w:val="nil"/>
              <w:bottom w:val="single" w:color="000000" w:sz="4" w:space="0"/>
              <w:right w:val="single" w:color="000000" w:sz="4" w:space="0"/>
            </w:tcBorders>
            <w:vAlign w:val="center"/>
          </w:tcPr>
          <w:p w14:paraId="0C71B417">
            <w:pPr>
              <w:keepNext w:val="0"/>
              <w:keepLines w:val="0"/>
              <w:pageBreakBefore w:val="0"/>
              <w:widowControl/>
              <w:kinsoku/>
              <w:wordWrap/>
              <w:overflowPunct/>
              <w:topLinePunct w:val="0"/>
              <w:autoSpaceDE/>
              <w:autoSpaceDN/>
              <w:bidi w:val="0"/>
              <w:spacing w:line="40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2559A747">
            <w:pPr>
              <w:keepNext w:val="0"/>
              <w:keepLines w:val="0"/>
              <w:pageBreakBefore w:val="0"/>
              <w:widowControl/>
              <w:kinsoku/>
              <w:wordWrap/>
              <w:overflowPunct/>
              <w:topLinePunct w:val="0"/>
              <w:autoSpaceDE/>
              <w:autoSpaceDN/>
              <w:bidi w:val="0"/>
              <w:spacing w:line="40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在收到相应文件后24小时内，超过24小时视为自动确认收到。</w:t>
            </w:r>
          </w:p>
        </w:tc>
      </w:tr>
      <w:tr w14:paraId="31C39804">
        <w:tblPrEx>
          <w:tblCellMar>
            <w:top w:w="0" w:type="dxa"/>
            <w:left w:w="108" w:type="dxa"/>
            <w:bottom w:w="0" w:type="dxa"/>
            <w:right w:w="108" w:type="dxa"/>
          </w:tblCellMar>
        </w:tblPrEx>
        <w:trPr>
          <w:trHeight w:val="119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41ECE5B">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482" w:type="dxa"/>
            <w:tcBorders>
              <w:top w:val="single" w:color="000000" w:sz="4" w:space="0"/>
              <w:left w:val="nil"/>
              <w:bottom w:val="single" w:color="000000" w:sz="4" w:space="0"/>
              <w:right w:val="single" w:color="000000" w:sz="4" w:space="0"/>
            </w:tcBorders>
            <w:vAlign w:val="center"/>
          </w:tcPr>
          <w:p w14:paraId="7A17ABA3">
            <w:pPr>
              <w:keepNext w:val="0"/>
              <w:keepLines w:val="0"/>
              <w:pageBreakBefore w:val="0"/>
              <w:widowControl/>
              <w:kinsoku/>
              <w:wordWrap/>
              <w:overflowPunct/>
              <w:topLinePunct w:val="0"/>
              <w:autoSpaceDE/>
              <w:autoSpaceDN/>
              <w:bidi w:val="0"/>
              <w:spacing w:line="40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递交</w:t>
            </w:r>
            <w:r>
              <w:rPr>
                <w:rFonts w:hint="eastAsia" w:ascii="仿宋" w:hAnsi="仿宋" w:eastAsia="仿宋" w:cs="仿宋"/>
                <w:color w:val="auto"/>
                <w:kern w:val="0"/>
                <w:sz w:val="24"/>
                <w:szCs w:val="24"/>
                <w:highlight w:val="none"/>
                <w:lang w:val="en-US" w:eastAsia="zh-CN"/>
              </w:rPr>
              <w:t>参选文件</w:t>
            </w:r>
            <w:r>
              <w:rPr>
                <w:rFonts w:hint="eastAsia" w:ascii="仿宋" w:hAnsi="仿宋" w:eastAsia="仿宋" w:cs="仿宋"/>
                <w:color w:val="auto"/>
                <w:kern w:val="0"/>
                <w:sz w:val="24"/>
                <w:szCs w:val="24"/>
                <w:highlight w:val="none"/>
              </w:rPr>
              <w:t>截止时间及地点</w:t>
            </w:r>
          </w:p>
        </w:tc>
        <w:tc>
          <w:tcPr>
            <w:tcW w:w="6887" w:type="dxa"/>
            <w:tcBorders>
              <w:top w:val="single" w:color="000000" w:sz="4" w:space="0"/>
              <w:left w:val="nil"/>
              <w:bottom w:val="single" w:color="000000" w:sz="4" w:space="0"/>
              <w:right w:val="single" w:color="000000" w:sz="4" w:space="0"/>
            </w:tcBorders>
            <w:vAlign w:val="center"/>
          </w:tcPr>
          <w:p w14:paraId="5E949A1E">
            <w:pPr>
              <w:keepNext w:val="0"/>
              <w:keepLines w:val="0"/>
              <w:pageBreakBefore w:val="0"/>
              <w:widowControl/>
              <w:kinsoku/>
              <w:wordWrap/>
              <w:overflowPunct/>
              <w:topLinePunct w:val="0"/>
              <w:autoSpaceDE/>
              <w:autoSpaceDN/>
              <w:bidi w:val="0"/>
              <w:spacing w:line="40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同</w:t>
            </w:r>
            <w:r>
              <w:rPr>
                <w:rFonts w:hint="eastAsia" w:ascii="仿宋" w:hAnsi="仿宋" w:eastAsia="仿宋" w:cs="仿宋"/>
                <w:color w:val="auto"/>
                <w:kern w:val="0"/>
                <w:sz w:val="24"/>
                <w:szCs w:val="24"/>
                <w:highlight w:val="none"/>
              </w:rPr>
              <w:t>开标时间及地点</w:t>
            </w:r>
          </w:p>
        </w:tc>
      </w:tr>
      <w:tr w14:paraId="78612E9D">
        <w:tblPrEx>
          <w:tblCellMar>
            <w:top w:w="0" w:type="dxa"/>
            <w:left w:w="108" w:type="dxa"/>
            <w:bottom w:w="0" w:type="dxa"/>
            <w:right w:w="108" w:type="dxa"/>
          </w:tblCellMar>
        </w:tblPrEx>
        <w:trPr>
          <w:trHeight w:val="88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7BBEABA">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482" w:type="dxa"/>
            <w:tcBorders>
              <w:top w:val="single" w:color="000000" w:sz="4" w:space="0"/>
              <w:left w:val="nil"/>
              <w:bottom w:val="single" w:color="000000" w:sz="4" w:space="0"/>
              <w:right w:val="single" w:color="000000" w:sz="4" w:space="0"/>
            </w:tcBorders>
            <w:vAlign w:val="center"/>
          </w:tcPr>
          <w:p w14:paraId="7D9D9D7E">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887" w:type="dxa"/>
            <w:tcBorders>
              <w:top w:val="single" w:color="000000" w:sz="4" w:space="0"/>
              <w:left w:val="nil"/>
              <w:bottom w:val="single" w:color="000000" w:sz="4" w:space="0"/>
              <w:right w:val="single" w:color="000000" w:sz="4" w:space="0"/>
            </w:tcBorders>
            <w:vAlign w:val="center"/>
          </w:tcPr>
          <w:p w14:paraId="6795E8C9">
            <w:pPr>
              <w:keepNext w:val="0"/>
              <w:keepLines w:val="0"/>
              <w:pageBreakBefore w:val="0"/>
              <w:widowControl/>
              <w:kinsoku/>
              <w:wordWrap/>
              <w:overflowPunct/>
              <w:topLinePunct w:val="0"/>
              <w:autoSpaceDE/>
              <w:autoSpaceDN/>
              <w:bidi w:val="0"/>
              <w:spacing w:line="40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14:paraId="65992B41">
        <w:tblPrEx>
          <w:tblCellMar>
            <w:top w:w="0" w:type="dxa"/>
            <w:left w:w="108" w:type="dxa"/>
            <w:bottom w:w="0" w:type="dxa"/>
            <w:right w:w="108" w:type="dxa"/>
          </w:tblCellMar>
        </w:tblPrEx>
        <w:trPr>
          <w:trHeight w:val="132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4C2AF2B">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482" w:type="dxa"/>
            <w:tcBorders>
              <w:top w:val="single" w:color="000000" w:sz="4" w:space="0"/>
              <w:left w:val="nil"/>
              <w:bottom w:val="single" w:color="000000" w:sz="4" w:space="0"/>
              <w:right w:val="single" w:color="000000" w:sz="4" w:space="0"/>
            </w:tcBorders>
            <w:vAlign w:val="center"/>
          </w:tcPr>
          <w:p w14:paraId="24C7FB49">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参选文件</w:t>
            </w:r>
          </w:p>
          <w:p w14:paraId="6542C0E6">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887" w:type="dxa"/>
            <w:tcBorders>
              <w:top w:val="single" w:color="000000" w:sz="4" w:space="0"/>
              <w:left w:val="nil"/>
              <w:bottom w:val="single" w:color="000000" w:sz="4" w:space="0"/>
              <w:right w:val="single" w:color="000000" w:sz="4" w:space="0"/>
            </w:tcBorders>
            <w:vAlign w:val="center"/>
          </w:tcPr>
          <w:p w14:paraId="15B25F00">
            <w:pPr>
              <w:keepNext w:val="0"/>
              <w:keepLines w:val="0"/>
              <w:pageBreakBefore w:val="0"/>
              <w:widowControl/>
              <w:kinsoku/>
              <w:wordWrap/>
              <w:overflowPunct/>
              <w:topLinePunct w:val="0"/>
              <w:autoSpaceDE/>
              <w:autoSpaceDN/>
              <w:bidi w:val="0"/>
              <w:spacing w:line="40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正本1份，副本2份。电子文档1份 （电子文件内容为参选文件的扫描件，载体为U盘）。</w:t>
            </w:r>
          </w:p>
        </w:tc>
      </w:tr>
      <w:tr w14:paraId="0468BC11">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3F4DF7C">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482" w:type="dxa"/>
            <w:tcBorders>
              <w:top w:val="single" w:color="000000" w:sz="4" w:space="0"/>
              <w:left w:val="nil"/>
              <w:bottom w:val="single" w:color="000000" w:sz="4" w:space="0"/>
              <w:right w:val="single" w:color="000000" w:sz="4" w:space="0"/>
            </w:tcBorders>
            <w:vAlign w:val="center"/>
          </w:tcPr>
          <w:p w14:paraId="76DA7391">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比选有效期</w:t>
            </w:r>
          </w:p>
        </w:tc>
        <w:tc>
          <w:tcPr>
            <w:tcW w:w="6887" w:type="dxa"/>
            <w:tcBorders>
              <w:top w:val="single" w:color="000000" w:sz="4" w:space="0"/>
              <w:left w:val="nil"/>
              <w:bottom w:val="single" w:color="000000" w:sz="4" w:space="0"/>
              <w:right w:val="single" w:color="000000" w:sz="4" w:space="0"/>
            </w:tcBorders>
            <w:vAlign w:val="center"/>
          </w:tcPr>
          <w:p w14:paraId="08BF9FA0">
            <w:pPr>
              <w:keepNext w:val="0"/>
              <w:keepLines w:val="0"/>
              <w:pageBreakBefore w:val="0"/>
              <w:widowControl/>
              <w:kinsoku/>
              <w:wordWrap/>
              <w:overflowPunct/>
              <w:topLinePunct w:val="0"/>
              <w:autoSpaceDE/>
              <w:autoSpaceDN/>
              <w:bidi w:val="0"/>
              <w:spacing w:line="400" w:lineRule="exact"/>
              <w:rPr>
                <w:rFonts w:hint="default" w:ascii="仿宋" w:hAnsi="仿宋" w:eastAsia="仿宋" w:cs="仿宋"/>
                <w:color w:val="auto"/>
                <w:kern w:val="0"/>
                <w:sz w:val="24"/>
                <w:szCs w:val="24"/>
                <w:highlight w:val="none"/>
                <w:lang w:val="en-US" w:eastAsia="zh-CN"/>
              </w:rPr>
            </w:pPr>
            <w:r>
              <w:rPr>
                <w:rFonts w:hint="eastAsia" w:ascii="仿宋" w:hAnsi="仿宋" w:eastAsia="仿宋" w:cs="仿宋"/>
                <w:kern w:val="0"/>
                <w:sz w:val="24"/>
                <w:highlight w:val="none"/>
              </w:rPr>
              <w:t>自参选文件递交截止时间之日起</w:t>
            </w:r>
            <w:r>
              <w:rPr>
                <w:rFonts w:hint="eastAsia" w:ascii="仿宋" w:hAnsi="仿宋" w:eastAsia="仿宋" w:cs="仿宋"/>
                <w:kern w:val="0"/>
                <w:sz w:val="24"/>
                <w:highlight w:val="none"/>
                <w:u w:val="single"/>
              </w:rPr>
              <w:t xml:space="preserve">   60  </w:t>
            </w:r>
            <w:r>
              <w:rPr>
                <w:rFonts w:hint="eastAsia" w:ascii="仿宋" w:hAnsi="仿宋" w:eastAsia="仿宋" w:cs="仿宋"/>
                <w:kern w:val="0"/>
                <w:sz w:val="24"/>
                <w:highlight w:val="none"/>
              </w:rPr>
              <w:t>天</w:t>
            </w:r>
          </w:p>
        </w:tc>
      </w:tr>
      <w:tr w14:paraId="41AB282B">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2ECDBB7">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482" w:type="dxa"/>
            <w:tcBorders>
              <w:top w:val="single" w:color="000000" w:sz="4" w:space="0"/>
              <w:left w:val="nil"/>
              <w:bottom w:val="single" w:color="000000" w:sz="4" w:space="0"/>
              <w:right w:val="single" w:color="000000" w:sz="4" w:space="0"/>
            </w:tcBorders>
            <w:vAlign w:val="center"/>
          </w:tcPr>
          <w:p w14:paraId="0343C2C8">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14:paraId="2A49171C">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887" w:type="dxa"/>
            <w:tcBorders>
              <w:top w:val="single" w:color="000000" w:sz="4" w:space="0"/>
              <w:left w:val="nil"/>
              <w:bottom w:val="single" w:color="000000" w:sz="4" w:space="0"/>
              <w:right w:val="single" w:color="000000" w:sz="4" w:space="0"/>
            </w:tcBorders>
            <w:vAlign w:val="center"/>
          </w:tcPr>
          <w:p w14:paraId="02803EA9">
            <w:pPr>
              <w:keepNext w:val="0"/>
              <w:keepLines w:val="0"/>
              <w:pageBreakBefore w:val="0"/>
              <w:widowControl/>
              <w:kinsoku/>
              <w:wordWrap/>
              <w:overflowPunct/>
              <w:topLinePunct w:val="0"/>
              <w:autoSpaceDE/>
              <w:autoSpaceDN/>
              <w:bidi w:val="0"/>
              <w:spacing w:line="40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1.参选单位需提供投标保证金，投标保证金采用保函形式（银行保函或担保公司保函）。</w:t>
            </w:r>
          </w:p>
          <w:p w14:paraId="62F8A5C8">
            <w:pPr>
              <w:keepNext w:val="0"/>
              <w:keepLines w:val="0"/>
              <w:pageBreakBefore w:val="0"/>
              <w:widowControl/>
              <w:kinsoku/>
              <w:wordWrap/>
              <w:overflowPunct/>
              <w:topLinePunct w:val="0"/>
              <w:autoSpaceDE/>
              <w:autoSpaceDN/>
              <w:bidi w:val="0"/>
              <w:spacing w:line="40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2.投标保证金为</w:t>
            </w:r>
            <w:r>
              <w:rPr>
                <w:rFonts w:hint="eastAsia" w:ascii="仿宋" w:hAnsi="仿宋" w:eastAsia="仿宋" w:cs="仿宋"/>
                <w:color w:val="auto"/>
                <w:kern w:val="0"/>
                <w:sz w:val="24"/>
                <w:szCs w:val="24"/>
                <w:highlight w:val="none"/>
                <w:u w:val="single"/>
                <w:lang w:val="en-US" w:eastAsia="zh-CN"/>
              </w:rPr>
              <w:t xml:space="preserve"> 15000 </w:t>
            </w:r>
            <w:r>
              <w:rPr>
                <w:rFonts w:hint="eastAsia" w:ascii="仿宋" w:hAnsi="仿宋" w:eastAsia="仿宋" w:cs="仿宋"/>
                <w:color w:val="auto"/>
                <w:kern w:val="0"/>
                <w:sz w:val="24"/>
                <w:szCs w:val="24"/>
                <w:highlight w:val="none"/>
                <w:lang w:val="en-US" w:eastAsia="zh-CN"/>
              </w:rPr>
              <w:t>元。</w:t>
            </w:r>
          </w:p>
          <w:p w14:paraId="709A7FC8">
            <w:pPr>
              <w:keepNext w:val="0"/>
              <w:keepLines w:val="0"/>
              <w:pageBreakBefore w:val="0"/>
              <w:widowControl/>
              <w:kinsoku/>
              <w:wordWrap/>
              <w:overflowPunct/>
              <w:topLinePunct w:val="0"/>
              <w:autoSpaceDE/>
              <w:autoSpaceDN/>
              <w:bidi w:val="0"/>
              <w:spacing w:line="40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3.投标保函有效期起止时间应能覆盖比选有效期起止时间，投标保函担保的项目名称应与比选的项目名称保持一致，受益人名称应与比选人单位名称保持一致。</w:t>
            </w:r>
          </w:p>
        </w:tc>
      </w:tr>
      <w:tr w14:paraId="18C99603">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3E73F0E">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482" w:type="dxa"/>
            <w:tcBorders>
              <w:top w:val="single" w:color="000000" w:sz="4" w:space="0"/>
              <w:left w:val="nil"/>
              <w:bottom w:val="single" w:color="000000" w:sz="4" w:space="0"/>
              <w:right w:val="single" w:color="000000" w:sz="4" w:space="0"/>
            </w:tcBorders>
            <w:vAlign w:val="center"/>
          </w:tcPr>
          <w:p w14:paraId="5A28AB5F">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履约保证金</w:t>
            </w:r>
          </w:p>
        </w:tc>
        <w:tc>
          <w:tcPr>
            <w:tcW w:w="6887" w:type="dxa"/>
            <w:tcBorders>
              <w:top w:val="single" w:color="000000" w:sz="4" w:space="0"/>
              <w:left w:val="nil"/>
              <w:bottom w:val="single" w:color="000000" w:sz="4" w:space="0"/>
              <w:right w:val="single" w:color="000000" w:sz="4" w:space="0"/>
            </w:tcBorders>
            <w:vAlign w:val="center"/>
          </w:tcPr>
          <w:p w14:paraId="03273E58">
            <w:pPr>
              <w:keepNext w:val="0"/>
              <w:keepLines w:val="0"/>
              <w:pageBreakBefore w:val="0"/>
              <w:widowControl/>
              <w:kinsoku/>
              <w:wordWrap/>
              <w:overflowPunct/>
              <w:topLinePunct w:val="0"/>
              <w:autoSpaceDE/>
              <w:autoSpaceDN/>
              <w:bidi w:val="0"/>
              <w:spacing w:line="40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r>
              <w:rPr>
                <w:rFonts w:hint="default" w:ascii="仿宋" w:hAnsi="仿宋" w:eastAsia="仿宋" w:cs="仿宋"/>
                <w:color w:val="auto"/>
                <w:kern w:val="0"/>
                <w:sz w:val="24"/>
                <w:szCs w:val="24"/>
                <w:highlight w:val="none"/>
                <w:lang w:val="en-US" w:eastAsia="zh-CN"/>
              </w:rPr>
              <w:t>中</w:t>
            </w:r>
            <w:r>
              <w:rPr>
                <w:rFonts w:hint="eastAsia" w:ascii="仿宋" w:hAnsi="仿宋" w:eastAsia="仿宋" w:cs="仿宋"/>
                <w:color w:val="auto"/>
                <w:kern w:val="0"/>
                <w:sz w:val="24"/>
                <w:szCs w:val="24"/>
                <w:highlight w:val="none"/>
                <w:lang w:val="en-US" w:eastAsia="zh-CN"/>
              </w:rPr>
              <w:t>选</w:t>
            </w:r>
            <w:r>
              <w:rPr>
                <w:rFonts w:hint="default" w:ascii="仿宋" w:hAnsi="仿宋" w:eastAsia="仿宋" w:cs="仿宋"/>
                <w:color w:val="auto"/>
                <w:kern w:val="0"/>
                <w:sz w:val="24"/>
                <w:szCs w:val="24"/>
                <w:highlight w:val="none"/>
                <w:lang w:val="en-US" w:eastAsia="zh-CN"/>
              </w:rPr>
              <w:t>合同金额低于最高投标限价10%以内的，担保金额为中</w:t>
            </w:r>
            <w:r>
              <w:rPr>
                <w:rFonts w:hint="eastAsia" w:ascii="仿宋" w:hAnsi="仿宋" w:eastAsia="仿宋" w:cs="仿宋"/>
                <w:color w:val="auto"/>
                <w:kern w:val="0"/>
                <w:sz w:val="24"/>
                <w:szCs w:val="24"/>
                <w:highlight w:val="none"/>
                <w:lang w:val="en-US" w:eastAsia="zh-CN"/>
              </w:rPr>
              <w:t>选</w:t>
            </w:r>
            <w:r>
              <w:rPr>
                <w:rFonts w:hint="default" w:ascii="仿宋" w:hAnsi="仿宋" w:eastAsia="仿宋" w:cs="仿宋"/>
                <w:color w:val="auto"/>
                <w:kern w:val="0"/>
                <w:sz w:val="24"/>
                <w:szCs w:val="24"/>
                <w:highlight w:val="none"/>
                <w:lang w:val="en-US" w:eastAsia="zh-CN"/>
              </w:rPr>
              <w:t>合同金额的10%；中</w:t>
            </w:r>
            <w:r>
              <w:rPr>
                <w:rFonts w:hint="eastAsia" w:ascii="仿宋" w:hAnsi="仿宋" w:eastAsia="仿宋" w:cs="仿宋"/>
                <w:color w:val="auto"/>
                <w:kern w:val="0"/>
                <w:sz w:val="24"/>
                <w:szCs w:val="24"/>
                <w:highlight w:val="none"/>
                <w:lang w:val="en-US" w:eastAsia="zh-CN"/>
              </w:rPr>
              <w:t>选</w:t>
            </w:r>
            <w:r>
              <w:rPr>
                <w:rFonts w:hint="default" w:ascii="仿宋" w:hAnsi="仿宋" w:eastAsia="仿宋" w:cs="仿宋"/>
                <w:color w:val="auto"/>
                <w:kern w:val="0"/>
                <w:sz w:val="24"/>
                <w:szCs w:val="24"/>
                <w:highlight w:val="none"/>
                <w:lang w:val="en-US" w:eastAsia="zh-CN"/>
              </w:rPr>
              <w:t>合同金额低于最高投标限价10%以上的，担保金额为最高投标限价减去中</w:t>
            </w:r>
            <w:r>
              <w:rPr>
                <w:rFonts w:hint="eastAsia" w:ascii="仿宋" w:hAnsi="仿宋" w:eastAsia="仿宋" w:cs="仿宋"/>
                <w:color w:val="auto"/>
                <w:kern w:val="0"/>
                <w:sz w:val="24"/>
                <w:szCs w:val="24"/>
                <w:highlight w:val="none"/>
                <w:lang w:val="en-US" w:eastAsia="zh-CN"/>
              </w:rPr>
              <w:t>选</w:t>
            </w:r>
            <w:r>
              <w:rPr>
                <w:rFonts w:hint="default" w:ascii="仿宋" w:hAnsi="仿宋" w:eastAsia="仿宋" w:cs="仿宋"/>
                <w:color w:val="auto"/>
                <w:kern w:val="0"/>
                <w:sz w:val="24"/>
                <w:szCs w:val="24"/>
                <w:highlight w:val="none"/>
                <w:lang w:val="en-US" w:eastAsia="zh-CN"/>
              </w:rPr>
              <w:t>合同金额的差额。</w:t>
            </w:r>
          </w:p>
          <w:p w14:paraId="4F5EFE40">
            <w:pPr>
              <w:keepNext w:val="0"/>
              <w:keepLines w:val="0"/>
              <w:pageBreakBefore w:val="0"/>
              <w:widowControl/>
              <w:kinsoku/>
              <w:wordWrap/>
              <w:overflowPunct/>
              <w:topLinePunct w:val="0"/>
              <w:autoSpaceDE/>
              <w:autoSpaceDN/>
              <w:bidi w:val="0"/>
              <w:spacing w:line="40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2.履约保证金采用保函形式（银行保函或担保公司保函）。</w:t>
            </w:r>
          </w:p>
        </w:tc>
      </w:tr>
      <w:tr w14:paraId="1D543B3E">
        <w:tblPrEx>
          <w:tblCellMar>
            <w:top w:w="0" w:type="dxa"/>
            <w:left w:w="108" w:type="dxa"/>
            <w:bottom w:w="0" w:type="dxa"/>
            <w:right w:w="108" w:type="dxa"/>
          </w:tblCellMar>
        </w:tblPrEx>
        <w:trPr>
          <w:trHeight w:val="97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1A020DC">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18</w:t>
            </w:r>
          </w:p>
        </w:tc>
        <w:tc>
          <w:tcPr>
            <w:tcW w:w="1482" w:type="dxa"/>
            <w:tcBorders>
              <w:top w:val="single" w:color="000000" w:sz="4" w:space="0"/>
              <w:left w:val="nil"/>
              <w:bottom w:val="single" w:color="000000" w:sz="4" w:space="0"/>
              <w:right w:val="single" w:color="000000" w:sz="4" w:space="0"/>
            </w:tcBorders>
            <w:vAlign w:val="center"/>
          </w:tcPr>
          <w:p w14:paraId="395FE233">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887" w:type="dxa"/>
            <w:tcBorders>
              <w:top w:val="single" w:color="000000" w:sz="4" w:space="0"/>
              <w:left w:val="nil"/>
              <w:bottom w:val="single" w:color="000000" w:sz="4" w:space="0"/>
              <w:right w:val="single" w:color="000000" w:sz="4" w:space="0"/>
            </w:tcBorders>
            <w:vAlign w:val="center"/>
          </w:tcPr>
          <w:p w14:paraId="5863C301">
            <w:pPr>
              <w:keepNext w:val="0"/>
              <w:keepLines w:val="0"/>
              <w:pageBreakBefore w:val="0"/>
              <w:widowControl/>
              <w:kinsoku/>
              <w:wordWrap/>
              <w:overflowPunct/>
              <w:topLinePunct w:val="0"/>
              <w:autoSpaceDE/>
              <w:autoSpaceDN/>
              <w:bidi w:val="0"/>
              <w:spacing w:line="40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none"/>
                <w:lang w:val="en-US" w:eastAsia="zh-CN"/>
              </w:rPr>
              <w:t>综合评分法</w:t>
            </w:r>
          </w:p>
        </w:tc>
      </w:tr>
      <w:tr w14:paraId="746A1654">
        <w:tblPrEx>
          <w:tblCellMar>
            <w:top w:w="0" w:type="dxa"/>
            <w:left w:w="108" w:type="dxa"/>
            <w:bottom w:w="0" w:type="dxa"/>
            <w:right w:w="108" w:type="dxa"/>
          </w:tblCellMar>
        </w:tblPrEx>
        <w:trPr>
          <w:trHeight w:val="11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FB8D038">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19</w:t>
            </w:r>
          </w:p>
        </w:tc>
        <w:tc>
          <w:tcPr>
            <w:tcW w:w="1482" w:type="dxa"/>
            <w:tcBorders>
              <w:top w:val="single" w:color="000000" w:sz="4" w:space="0"/>
              <w:left w:val="nil"/>
              <w:bottom w:val="single" w:color="000000" w:sz="4" w:space="0"/>
              <w:right w:val="single" w:color="000000" w:sz="4" w:space="0"/>
            </w:tcBorders>
            <w:vAlign w:val="center"/>
          </w:tcPr>
          <w:p w14:paraId="51FC7BC1">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w:t>
            </w:r>
          </w:p>
          <w:p w14:paraId="5A897809">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p>
        </w:tc>
        <w:tc>
          <w:tcPr>
            <w:tcW w:w="6887" w:type="dxa"/>
            <w:tcBorders>
              <w:top w:val="single" w:color="000000" w:sz="4" w:space="0"/>
              <w:left w:val="nil"/>
              <w:bottom w:val="single" w:color="000000" w:sz="4" w:space="0"/>
              <w:right w:val="single" w:color="000000" w:sz="4" w:space="0"/>
            </w:tcBorders>
            <w:vAlign w:val="center"/>
          </w:tcPr>
          <w:p w14:paraId="5CC34613">
            <w:pPr>
              <w:keepNext w:val="0"/>
              <w:keepLines w:val="0"/>
              <w:pageBreakBefore w:val="0"/>
              <w:widowControl/>
              <w:kinsoku/>
              <w:wordWrap/>
              <w:overflowPunct/>
              <w:topLinePunct w:val="0"/>
              <w:autoSpaceDE/>
              <w:autoSpaceDN/>
              <w:bidi w:val="0"/>
              <w:spacing w:line="40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xml:space="preserve">最高投标限价为735601.32元。       </w:t>
            </w:r>
          </w:p>
        </w:tc>
      </w:tr>
      <w:tr w14:paraId="7FE0D6A2">
        <w:tblPrEx>
          <w:tblCellMar>
            <w:top w:w="0" w:type="dxa"/>
            <w:left w:w="108" w:type="dxa"/>
            <w:bottom w:w="0" w:type="dxa"/>
            <w:right w:w="108" w:type="dxa"/>
          </w:tblCellMar>
        </w:tblPrEx>
        <w:trPr>
          <w:trHeight w:val="117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7F62822">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20</w:t>
            </w:r>
          </w:p>
        </w:tc>
        <w:tc>
          <w:tcPr>
            <w:tcW w:w="1482" w:type="dxa"/>
            <w:tcBorders>
              <w:top w:val="single" w:color="000000" w:sz="4" w:space="0"/>
              <w:left w:val="nil"/>
              <w:bottom w:val="single" w:color="000000" w:sz="4" w:space="0"/>
              <w:right w:val="single" w:color="000000" w:sz="4" w:space="0"/>
            </w:tcBorders>
            <w:vAlign w:val="center"/>
          </w:tcPr>
          <w:p w14:paraId="297A8953">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评</w:t>
            </w:r>
            <w:r>
              <w:rPr>
                <w:rFonts w:hint="eastAsia" w:ascii="仿宋" w:hAnsi="仿宋" w:eastAsia="仿宋" w:cs="仿宋"/>
                <w:color w:val="auto"/>
                <w:kern w:val="0"/>
                <w:sz w:val="24"/>
                <w:szCs w:val="24"/>
                <w:highlight w:val="none"/>
                <w:lang w:val="en-US" w:eastAsia="zh-CN"/>
              </w:rPr>
              <w:t>标</w:t>
            </w:r>
            <w:r>
              <w:rPr>
                <w:rFonts w:hint="eastAsia" w:ascii="仿宋" w:hAnsi="仿宋" w:eastAsia="仿宋" w:cs="仿宋"/>
                <w:color w:val="auto"/>
                <w:kern w:val="0"/>
                <w:sz w:val="24"/>
                <w:szCs w:val="24"/>
                <w:highlight w:val="none"/>
              </w:rPr>
              <w:t>委员会</w:t>
            </w:r>
          </w:p>
          <w:p w14:paraId="3FA55BD6">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的组建</w:t>
            </w:r>
          </w:p>
        </w:tc>
        <w:tc>
          <w:tcPr>
            <w:tcW w:w="6887" w:type="dxa"/>
            <w:tcBorders>
              <w:top w:val="single" w:color="000000" w:sz="4" w:space="0"/>
              <w:left w:val="nil"/>
              <w:bottom w:val="single" w:color="000000" w:sz="4" w:space="0"/>
              <w:right w:val="single" w:color="000000" w:sz="4" w:space="0"/>
            </w:tcBorders>
            <w:vAlign w:val="center"/>
          </w:tcPr>
          <w:p w14:paraId="72281154">
            <w:pPr>
              <w:keepNext w:val="0"/>
              <w:keepLines w:val="0"/>
              <w:pageBreakBefore w:val="0"/>
              <w:widowControl/>
              <w:kinsoku/>
              <w:wordWrap/>
              <w:overflowPunct/>
              <w:topLinePunct w:val="0"/>
              <w:autoSpaceDE/>
              <w:autoSpaceDN/>
              <w:bidi w:val="0"/>
              <w:spacing w:line="40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由比选人负责组建。</w:t>
            </w:r>
          </w:p>
        </w:tc>
      </w:tr>
      <w:tr w14:paraId="6BD2C6D8">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9A72B">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21</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3AA519E2">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540D414F">
            <w:pPr>
              <w:keepNext w:val="0"/>
              <w:keepLines w:val="0"/>
              <w:pageBreakBefore w:val="0"/>
              <w:widowControl/>
              <w:kinsoku/>
              <w:wordWrap/>
              <w:overflowPunct/>
              <w:topLinePunct w:val="0"/>
              <w:autoSpaceDE/>
              <w:autoSpaceDN/>
              <w:bidi w:val="0"/>
              <w:spacing w:line="40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比选人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候选人的情况在衡阳市国有资产投资控股集团有限公司官方网站（www.hxamc.com）予以公示</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中选单位自收到中选通知书5个工作日内，按照第五章合同条款及格式与业主签订合同。</w:t>
            </w:r>
          </w:p>
        </w:tc>
      </w:tr>
      <w:tr w14:paraId="5D42E4B6">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A8718">
            <w:pPr>
              <w:keepNext w:val="0"/>
              <w:keepLines w:val="0"/>
              <w:pageBreakBefore w:val="0"/>
              <w:widowControl/>
              <w:kinsoku/>
              <w:wordWrap/>
              <w:overflowPunct/>
              <w:topLinePunct w:val="0"/>
              <w:autoSpaceDE/>
              <w:autoSpaceDN/>
              <w:bidi w:val="0"/>
              <w:spacing w:line="40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22</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5D9ED486">
            <w:pPr>
              <w:keepNext w:val="0"/>
              <w:keepLines w:val="0"/>
              <w:pageBreakBefore w:val="0"/>
              <w:widowControl/>
              <w:kinsoku/>
              <w:wordWrap/>
              <w:overflowPunct/>
              <w:topLinePunct w:val="0"/>
              <w:autoSpaceDE/>
              <w:autoSpaceDN/>
              <w:bidi w:val="0"/>
              <w:spacing w:line="40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089F6D7D">
            <w:pPr>
              <w:keepNext w:val="0"/>
              <w:keepLines w:val="0"/>
              <w:pageBreakBefore w:val="0"/>
              <w:widowControl/>
              <w:kinsoku/>
              <w:wordWrap/>
              <w:overflowPunct/>
              <w:topLinePunct w:val="0"/>
              <w:autoSpaceDE/>
              <w:autoSpaceDN/>
              <w:bidi w:val="0"/>
              <w:spacing w:line="40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每月底统计管理系统中当月实际就餐人数，每月平均中餐实际就餐人数在400人之内，按照中标金额支付当月劳务费用。若中餐月实际平均就餐人数超过400人（不含 400人），超出人数按当月中标劳务金额的人均标准的60%予以补助。</w:t>
            </w:r>
          </w:p>
          <w:p w14:paraId="3EBDE86D">
            <w:pPr>
              <w:keepNext w:val="0"/>
              <w:keepLines w:val="0"/>
              <w:pageBreakBefore w:val="0"/>
              <w:widowControl/>
              <w:kinsoku/>
              <w:wordWrap/>
              <w:overflowPunct/>
              <w:topLinePunct w:val="0"/>
              <w:autoSpaceDE/>
              <w:autoSpaceDN/>
              <w:bidi w:val="0"/>
              <w:spacing w:line="40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bidi="ar-SA"/>
              </w:rPr>
              <w:t>比选文件中其他未尽事宜，可按照招投标相关法律法规及政策文件规定执行。</w:t>
            </w:r>
          </w:p>
        </w:tc>
      </w:tr>
    </w:tbl>
    <w:p w14:paraId="100DAE9F">
      <w:pPr>
        <w:widowControl/>
        <w:numPr>
          <w:ilvl w:val="0"/>
          <w:numId w:val="0"/>
        </w:numPr>
        <w:spacing w:line="480" w:lineRule="exact"/>
        <w:ind w:firstLine="700" w:firstLineChars="200"/>
        <w:jc w:val="left"/>
        <w:rPr>
          <w:rFonts w:hint="eastAsia" w:ascii="黑体" w:hAnsi="黑体" w:eastAsia="黑体" w:cs="黑体"/>
          <w:b/>
          <w:spacing w:val="15"/>
          <w:kern w:val="0"/>
          <w:sz w:val="32"/>
          <w:szCs w:val="32"/>
          <w:highlight w:val="none"/>
        </w:rPr>
      </w:pPr>
      <w:r>
        <w:rPr>
          <w:rFonts w:hint="eastAsia" w:ascii="黑体" w:hAnsi="黑体" w:eastAsia="黑体" w:cs="黑体"/>
          <w:b w:val="0"/>
          <w:bCs/>
          <w:spacing w:val="15"/>
          <w:kern w:val="0"/>
          <w:sz w:val="32"/>
          <w:szCs w:val="32"/>
          <w:highlight w:val="none"/>
          <w:lang w:val="en-US" w:eastAsia="zh-CN"/>
        </w:rPr>
        <w:t>一、</w:t>
      </w:r>
      <w:r>
        <w:rPr>
          <w:rFonts w:hint="eastAsia" w:ascii="黑体" w:hAnsi="黑体" w:eastAsia="黑体" w:cs="黑体"/>
          <w:b w:val="0"/>
          <w:bCs/>
          <w:spacing w:val="15"/>
          <w:kern w:val="0"/>
          <w:sz w:val="32"/>
          <w:szCs w:val="32"/>
          <w:highlight w:val="none"/>
        </w:rPr>
        <w:t>比选保密，违者应对由此造成的后果承担法律责任。</w:t>
      </w:r>
    </w:p>
    <w:p w14:paraId="77F0B0DF">
      <w:pPr>
        <w:widowControl/>
        <w:spacing w:line="480" w:lineRule="exact"/>
        <w:ind w:firstLine="560" w:firstLineChars="200"/>
        <w:jc w:val="left"/>
        <w:rPr>
          <w:rFonts w:hint="eastAsia" w:ascii="仿宋" w:hAnsi="仿宋" w:eastAsia="仿宋"/>
          <w:spacing w:val="15"/>
          <w:kern w:val="0"/>
          <w:sz w:val="28"/>
          <w:szCs w:val="28"/>
          <w:highlight w:val="none"/>
        </w:rPr>
      </w:pPr>
      <w:r>
        <w:rPr>
          <w:rFonts w:hint="eastAsia" w:ascii="仿宋" w:hAnsi="仿宋" w:eastAsia="仿宋" w:cs="仿宋"/>
          <w:sz w:val="28"/>
          <w:szCs w:val="28"/>
          <w:highlight w:val="none"/>
        </w:rPr>
        <w:t>当事人一方对在订立和履行合同过程中知悉的另一方的商业秘密、技术秘密负有保密责</w:t>
      </w:r>
      <w:r>
        <w:rPr>
          <w:rFonts w:hint="eastAsia" w:ascii="仿宋" w:hAnsi="仿宋" w:eastAsia="仿宋" w:cs="仿宋"/>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highlight w:val="none"/>
        </w:rPr>
        <w:t>偿责任。当事人为履行合同所需要的信息，另一方须予以提供。当事人认为必要时，可签订保密协议</w:t>
      </w:r>
      <w:r>
        <w:rPr>
          <w:rFonts w:hint="eastAsia" w:ascii="仿宋" w:hAnsi="仿宋" w:eastAsia="仿宋"/>
          <w:spacing w:val="15"/>
          <w:kern w:val="0"/>
          <w:sz w:val="28"/>
          <w:szCs w:val="28"/>
          <w:highlight w:val="none"/>
        </w:rPr>
        <w:t>，作为合同附件。</w:t>
      </w:r>
    </w:p>
    <w:p w14:paraId="6C67FA9E">
      <w:pPr>
        <w:keepNext w:val="0"/>
        <w:keepLines w:val="0"/>
        <w:pageBreakBefore w:val="0"/>
        <w:widowControl/>
        <w:kinsoku/>
        <w:wordWrap/>
        <w:overflowPunct/>
        <w:topLinePunct w:val="0"/>
        <w:autoSpaceDE/>
        <w:autoSpaceDN/>
        <w:bidi w:val="0"/>
        <w:spacing w:line="480" w:lineRule="exact"/>
        <w:ind w:firstLine="700" w:firstLineChars="200"/>
        <w:jc w:val="left"/>
        <w:rPr>
          <w:rFonts w:hint="eastAsia" w:ascii="黑体" w:hAnsi="黑体" w:eastAsia="黑体" w:cs="黑体"/>
          <w:b w:val="0"/>
          <w:bCs w:val="0"/>
          <w:color w:val="auto"/>
          <w:spacing w:val="15"/>
          <w:kern w:val="0"/>
          <w:sz w:val="32"/>
          <w:szCs w:val="32"/>
          <w:highlight w:val="none"/>
        </w:rPr>
      </w:pPr>
      <w:r>
        <w:rPr>
          <w:rFonts w:hint="eastAsia" w:ascii="黑体" w:hAnsi="黑体" w:eastAsia="黑体" w:cs="黑体"/>
          <w:b w:val="0"/>
          <w:bCs w:val="0"/>
          <w:color w:val="auto"/>
          <w:spacing w:val="15"/>
          <w:kern w:val="0"/>
          <w:sz w:val="32"/>
          <w:szCs w:val="32"/>
          <w:highlight w:val="none"/>
          <w:lang w:val="en-US" w:eastAsia="zh-CN"/>
        </w:rPr>
        <w:t>二、</w:t>
      </w:r>
      <w:r>
        <w:rPr>
          <w:rFonts w:hint="eastAsia" w:ascii="黑体" w:hAnsi="黑体" w:eastAsia="黑体" w:cs="黑体"/>
          <w:b w:val="0"/>
          <w:bCs w:val="0"/>
          <w:color w:val="auto"/>
          <w:spacing w:val="15"/>
          <w:kern w:val="0"/>
          <w:sz w:val="32"/>
          <w:szCs w:val="32"/>
          <w:highlight w:val="none"/>
        </w:rPr>
        <w:t>比选</w:t>
      </w:r>
      <w:r>
        <w:rPr>
          <w:rFonts w:hint="eastAsia" w:ascii="黑体" w:hAnsi="黑体" w:eastAsia="黑体" w:cs="黑体"/>
          <w:b w:val="0"/>
          <w:bCs w:val="0"/>
          <w:color w:val="auto"/>
          <w:spacing w:val="15"/>
          <w:kern w:val="0"/>
          <w:sz w:val="32"/>
          <w:szCs w:val="32"/>
          <w:highlight w:val="none"/>
          <w:lang w:val="en-US" w:eastAsia="zh-CN"/>
        </w:rPr>
        <w:t>相关</w:t>
      </w:r>
      <w:r>
        <w:rPr>
          <w:rFonts w:hint="eastAsia" w:ascii="黑体" w:hAnsi="黑体" w:eastAsia="黑体" w:cs="黑体"/>
          <w:b w:val="0"/>
          <w:bCs w:val="0"/>
          <w:color w:val="auto"/>
          <w:spacing w:val="15"/>
          <w:kern w:val="0"/>
          <w:sz w:val="32"/>
          <w:szCs w:val="32"/>
          <w:highlight w:val="none"/>
        </w:rPr>
        <w:t>说明</w:t>
      </w:r>
    </w:p>
    <w:p w14:paraId="362954B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1.参选人应仔细阅读比选文件中的所有内容，按照比选文件及要求，详细编制参选文件，并保证参选文件的正确性和真实性。</w:t>
      </w:r>
    </w:p>
    <w:p w14:paraId="35B904A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2.参选人获取比选文件后，应仔细检查比选文件中的所有内容，如有残缺等问题，应及时向比选人提出，否则，由此引起的费用由参选人自行承担。</w:t>
      </w:r>
    </w:p>
    <w:p w14:paraId="5A269BC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3.不按比选文件要求提供的参选文件将被拒绝。</w:t>
      </w:r>
    </w:p>
    <w:p w14:paraId="7CD3CD46">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4.参选人如对该比选文件有疑问，应在参选人须知前附表规定的时间以书面形式递交至比选人。比选人对参选人的答疑，都</w:t>
      </w:r>
      <w:r>
        <w:rPr>
          <w:rFonts w:hint="eastAsia" w:ascii="仿宋" w:hAnsi="仿宋" w:eastAsia="仿宋" w:cs="仿宋"/>
          <w:b w:val="0"/>
          <w:bCs w:val="0"/>
          <w:color w:val="auto"/>
          <w:spacing w:val="0"/>
          <w:kern w:val="2"/>
          <w:position w:val="0"/>
          <w:sz w:val="28"/>
          <w:szCs w:val="28"/>
          <w:highlight w:val="none"/>
          <w:lang w:val="en-US" w:eastAsia="zh-CN" w:bidi="ar-SA"/>
        </w:rPr>
        <w:t>将以官网发布答疑澄清公告的形式通知所有参选人，答疑澄清公告内容视为比选</w:t>
      </w:r>
      <w:r>
        <w:rPr>
          <w:rFonts w:hint="eastAsia" w:ascii="仿宋" w:hAnsi="仿宋" w:eastAsia="仿宋" w:cs="仿宋"/>
          <w:b w:val="0"/>
          <w:bCs w:val="0"/>
          <w:spacing w:val="0"/>
          <w:kern w:val="2"/>
          <w:position w:val="0"/>
          <w:sz w:val="28"/>
          <w:szCs w:val="28"/>
          <w:highlight w:val="none"/>
          <w:lang w:val="en-US" w:eastAsia="zh-CN" w:bidi="ar-SA"/>
        </w:rPr>
        <w:t>文件的组成部分。</w:t>
      </w:r>
    </w:p>
    <w:p w14:paraId="74753D4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3427BEE5">
      <w:pPr>
        <w:widowControl/>
        <w:spacing w:line="480" w:lineRule="exact"/>
        <w:ind w:firstLine="640" w:firstLineChars="200"/>
        <w:jc w:val="left"/>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lang w:val="en-US" w:eastAsia="zh-CN"/>
        </w:rPr>
        <w:t>三、</w:t>
      </w:r>
      <w:r>
        <w:rPr>
          <w:rFonts w:hint="eastAsia" w:ascii="黑体" w:hAnsi="黑体" w:eastAsia="黑体" w:cs="黑体"/>
          <w:b w:val="0"/>
          <w:bCs w:val="0"/>
          <w:sz w:val="32"/>
          <w:szCs w:val="32"/>
          <w:highlight w:val="none"/>
        </w:rPr>
        <w:t>投标保证金</w:t>
      </w:r>
    </w:p>
    <w:p w14:paraId="25E49AA0">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有下列情形之一的，投标保证金不予退还，比选人有权向出具保函的银行或担保公司提出索赔：</w:t>
      </w:r>
    </w:p>
    <w:p w14:paraId="4E0CA751">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（1）参选人在提交参选文件截止时间后撤回参选文件的；</w:t>
      </w:r>
    </w:p>
    <w:p w14:paraId="567BBB4C">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（2）参选人在参选文件中提供虚假资料的；</w:t>
      </w:r>
    </w:p>
    <w:p w14:paraId="63CD2986">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（3）确定中选结果后，无正当理由放弃中选资格的；</w:t>
      </w:r>
    </w:p>
    <w:p w14:paraId="50BEEE7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（4）除因不可抗力或比选文件认可的情形以外，中选参选人不与比选人签订合同的；</w:t>
      </w:r>
    </w:p>
    <w:p w14:paraId="47D0386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highlight w:val="none"/>
          <w:lang w:val="en-US" w:eastAsia="zh-CN" w:bidi="ar-SA"/>
        </w:rPr>
      </w:pPr>
      <w:r>
        <w:rPr>
          <w:rFonts w:hint="eastAsia" w:ascii="仿宋" w:hAnsi="仿宋" w:eastAsia="仿宋" w:cs="仿宋"/>
          <w:b w:val="0"/>
          <w:bCs w:val="0"/>
          <w:spacing w:val="0"/>
          <w:kern w:val="2"/>
          <w:position w:val="0"/>
          <w:sz w:val="28"/>
          <w:szCs w:val="28"/>
          <w:highlight w:val="none"/>
          <w:lang w:val="en-US" w:eastAsia="zh-CN" w:bidi="ar-SA"/>
        </w:rPr>
        <w:t>（5）参选人与比选人或其他参选人恶意串通的；</w:t>
      </w:r>
    </w:p>
    <w:p w14:paraId="2E64070C">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spacing w:val="0"/>
          <w:kern w:val="2"/>
          <w:position w:val="0"/>
          <w:sz w:val="28"/>
          <w:szCs w:val="28"/>
          <w:highlight w:val="none"/>
          <w:lang w:val="en-US" w:eastAsia="zh-CN" w:bidi="ar-SA"/>
        </w:rPr>
        <w:t>（6）比选文件规定的其他情形。</w:t>
      </w:r>
    </w:p>
    <w:p w14:paraId="28CEE91A">
      <w:pPr>
        <w:keepNext w:val="0"/>
        <w:keepLines w:val="0"/>
        <w:pageBreakBefore w:val="0"/>
        <w:widowControl/>
        <w:kinsoku/>
        <w:wordWrap/>
        <w:overflowPunct/>
        <w:topLinePunct w:val="0"/>
        <w:autoSpaceDE/>
        <w:autoSpaceDN/>
        <w:bidi w:val="0"/>
        <w:spacing w:line="480" w:lineRule="exact"/>
        <w:ind w:firstLine="700" w:firstLineChars="200"/>
        <w:jc w:val="both"/>
        <w:rPr>
          <w:rFonts w:hint="default" w:ascii="黑体" w:hAnsi="黑体" w:eastAsia="黑体" w:cs="黑体"/>
          <w:b w:val="0"/>
          <w:bCs/>
          <w:color w:val="auto"/>
          <w:spacing w:val="15"/>
          <w:kern w:val="0"/>
          <w:sz w:val="32"/>
          <w:szCs w:val="32"/>
          <w:highlight w:val="none"/>
          <w:lang w:val="en-US" w:eastAsia="zh-CN"/>
        </w:rPr>
      </w:pPr>
      <w:r>
        <w:rPr>
          <w:rFonts w:hint="eastAsia" w:ascii="黑体" w:hAnsi="黑体" w:eastAsia="黑体" w:cs="黑体"/>
          <w:b w:val="0"/>
          <w:bCs/>
          <w:color w:val="auto"/>
          <w:spacing w:val="15"/>
          <w:kern w:val="0"/>
          <w:sz w:val="32"/>
          <w:szCs w:val="32"/>
          <w:highlight w:val="none"/>
          <w:lang w:val="en-US" w:eastAsia="zh-CN"/>
        </w:rPr>
        <w:t>四、重新比选</w:t>
      </w:r>
    </w:p>
    <w:p w14:paraId="6FFA249C">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有下列情形之一的，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 xml:space="preserve">应当重新比选：  </w:t>
      </w:r>
    </w:p>
    <w:p w14:paraId="3174FACC">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13BFFD4B">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6F93ADA8">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可不再进行比选。</w:t>
      </w:r>
    </w:p>
    <w:p w14:paraId="2EF6373E">
      <w:pPr>
        <w:keepNext w:val="0"/>
        <w:keepLines w:val="0"/>
        <w:pageBreakBefore w:val="0"/>
        <w:widowControl/>
        <w:kinsoku/>
        <w:wordWrap/>
        <w:overflowPunct/>
        <w:topLinePunct w:val="0"/>
        <w:autoSpaceDE/>
        <w:autoSpaceDN/>
        <w:bidi w:val="0"/>
        <w:spacing w:line="480" w:lineRule="exact"/>
        <w:ind w:firstLine="700"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val="0"/>
          <w:bCs/>
          <w:color w:val="auto"/>
          <w:spacing w:val="15"/>
          <w:kern w:val="0"/>
          <w:sz w:val="32"/>
          <w:szCs w:val="32"/>
          <w:highlight w:val="none"/>
          <w:lang w:val="en-US" w:eastAsia="zh-CN"/>
        </w:rPr>
        <w:t>五、违规情形</w:t>
      </w:r>
    </w:p>
    <w:p w14:paraId="419D44A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（一）有下列情形之一的，属于参选人相互串通投标：</w:t>
      </w:r>
    </w:p>
    <w:p w14:paraId="50071B5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1.参选人之间协商投标报价等参选文件的实质性内容；</w:t>
      </w:r>
    </w:p>
    <w:p w14:paraId="71B57004">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2.参选人之间约定中选人；</w:t>
      </w:r>
    </w:p>
    <w:p w14:paraId="0FCB373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3.参选人之间约定部分参选人放弃投标或者中选；</w:t>
      </w:r>
    </w:p>
    <w:p w14:paraId="70A4861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4.属于同一集团、协会、商会等组织成员的参选人按照该组织要求协同投标：</w:t>
      </w:r>
    </w:p>
    <w:p w14:paraId="503F116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5.参选人之间为谋取中选或者排斥特定参选人而采取的其他联合行动。</w:t>
      </w:r>
    </w:p>
    <w:p w14:paraId="05613CB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（二）有下列情形之一的，视为参选人相互串通投标：</w:t>
      </w:r>
    </w:p>
    <w:p w14:paraId="1C820DEB">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1.不同参选人的参选文件由同一单位或者个人编制；</w:t>
      </w:r>
    </w:p>
    <w:p w14:paraId="6A62FD9D">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2.不同参选人委托同一单位或者个人办理投标事宜；</w:t>
      </w:r>
    </w:p>
    <w:p w14:paraId="05D9249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3.不同参选人的参选文件载明的项目管理成员为同一人；</w:t>
      </w:r>
    </w:p>
    <w:p w14:paraId="09C9ACB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4.不同参选人的参选文件异常一致或者投标报价呈规律性差异：</w:t>
      </w:r>
    </w:p>
    <w:p w14:paraId="7E3B07D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5.不同参选人的参选文件相互混装。</w:t>
      </w:r>
    </w:p>
    <w:p w14:paraId="23B6045E">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6.不同参选人的投标保证金从同一单位或者个人的账户转出。</w:t>
      </w:r>
    </w:p>
    <w:p w14:paraId="1C3C2B17">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（三）有下列情形之一的，属于比选人与参选人串通投标：</w:t>
      </w:r>
    </w:p>
    <w:p w14:paraId="0CE693D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1.比选人在开标前开启参选文件并将有关信息泄露给其他参选人；</w:t>
      </w:r>
    </w:p>
    <w:p w14:paraId="64D11F14">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2.比选人直接或者间接向参选人泄露标底、评标委员会成员等信息；</w:t>
      </w:r>
    </w:p>
    <w:p w14:paraId="3273CFA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3.比选人明示或者暗示参选人压低或者抬高投标报价；</w:t>
      </w:r>
    </w:p>
    <w:p w14:paraId="04A023B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4.比选人授意参选人撤换、修改参选文件；</w:t>
      </w:r>
    </w:p>
    <w:p w14:paraId="05DF29E0">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5.比选人明示或者暗示参选人为特定参选人中选提供方便；</w:t>
      </w:r>
    </w:p>
    <w:p w14:paraId="29CF17A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6.比选人与参选人为谋求特定参选人中选而采取的其他串通行为。</w:t>
      </w:r>
    </w:p>
    <w:p w14:paraId="6F71D98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（四）使用通过受让或者租借等方式获取的资格、资质证书投标的，属于以他人名义投标。</w:t>
      </w:r>
    </w:p>
    <w:p w14:paraId="1C7DF513">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（五）参选人有下列情形之一的，属于弄虚作假的行为： </w:t>
      </w:r>
    </w:p>
    <w:p w14:paraId="43B2BBA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1.使用伪造、变造的许可证件； </w:t>
      </w:r>
    </w:p>
    <w:p w14:paraId="2B09D4E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2.提供虚假的财务状况或者业绩； </w:t>
      </w:r>
    </w:p>
    <w:p w14:paraId="772B2DD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3.提供虚假的项目负责人或者主要技术人员简历、劳动关系证明； </w:t>
      </w:r>
    </w:p>
    <w:p w14:paraId="2BFC153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 xml:space="preserve">4.提供虚假的信用状况； </w:t>
      </w:r>
    </w:p>
    <w:p w14:paraId="04B2EC2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5.其他弄虚作假的行为。</w:t>
      </w:r>
    </w:p>
    <w:p w14:paraId="0A285B10">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存在上述违规情形的，其参选无效，并将违规单位打入衡阳国投黑名单，禁止其3年内参与衡阳国投内部比选、抽签、诚信服务机构目录库入库等内部招采活动。</w:t>
      </w:r>
    </w:p>
    <w:p w14:paraId="33F7B5A2">
      <w:pPr>
        <w:keepNext w:val="0"/>
        <w:keepLines w:val="0"/>
        <w:pageBreakBefore w:val="0"/>
        <w:widowControl/>
        <w:kinsoku/>
        <w:wordWrap/>
        <w:overflowPunct/>
        <w:topLinePunct w:val="0"/>
        <w:autoSpaceDE/>
        <w:autoSpaceDN/>
        <w:bidi w:val="0"/>
        <w:spacing w:line="480" w:lineRule="exact"/>
        <w:ind w:firstLine="620" w:firstLineChars="200"/>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其他未尽事宜可参照招投标相关规定酌情处理。</w:t>
      </w:r>
    </w:p>
    <w:p w14:paraId="66304657">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lang w:val="en-US" w:eastAsia="zh-CN"/>
        </w:rPr>
      </w:pPr>
    </w:p>
    <w:p w14:paraId="740C7062">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7C1D86FE">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77F88695">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6FF70C1B">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0F1FFAE8">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4DDABA5C">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Calibri" w:hAnsi="Calibri" w:eastAsia="方正小标宋简体" w:cs="Times New Roman"/>
          <w:bCs/>
          <w:kern w:val="44"/>
          <w:sz w:val="44"/>
          <w:szCs w:val="44"/>
          <w:highlight w:val="none"/>
          <w:lang w:val="en-US" w:eastAsia="zh-CN" w:bidi="ar-SA"/>
        </w:rPr>
      </w:pPr>
      <w:r>
        <w:rPr>
          <w:rFonts w:hint="eastAsia" w:ascii="Calibri" w:hAnsi="Calibri" w:eastAsia="方正小标宋简体" w:cs="Times New Roman"/>
          <w:bCs/>
          <w:kern w:val="44"/>
          <w:sz w:val="44"/>
          <w:szCs w:val="44"/>
          <w:highlight w:val="none"/>
          <w:lang w:val="en-US" w:eastAsia="zh-CN" w:bidi="ar-SA"/>
        </w:rPr>
        <w:br w:type="page"/>
      </w:r>
    </w:p>
    <w:p w14:paraId="7098281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kern w:val="44"/>
          <w:sz w:val="44"/>
          <w:szCs w:val="44"/>
          <w:highlight w:val="none"/>
          <w:lang w:val="en-US" w:eastAsia="zh-CN" w:bidi="ar-SA"/>
        </w:rPr>
      </w:pPr>
      <w:r>
        <w:rPr>
          <w:rFonts w:hint="eastAsia" w:ascii="Calibri" w:hAnsi="Calibri" w:eastAsia="方正小标宋简体" w:cs="Times New Roman"/>
          <w:b w:val="0"/>
          <w:bCs/>
          <w:kern w:val="44"/>
          <w:sz w:val="44"/>
          <w:szCs w:val="44"/>
          <w:highlight w:val="none"/>
          <w:lang w:val="en-US" w:eastAsia="zh-CN" w:bidi="ar-SA"/>
        </w:rPr>
        <w:t>第三章 参选文件要求</w:t>
      </w:r>
    </w:p>
    <w:p w14:paraId="6314270E">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14:paraId="046476E5">
      <w:pPr>
        <w:widowControl/>
        <w:spacing w:line="480" w:lineRule="exact"/>
        <w:ind w:firstLine="640" w:firstLineChars="200"/>
        <w:jc w:val="left"/>
        <w:rPr>
          <w:rFonts w:hint="eastAsia" w:ascii="黑体" w:hAnsi="黑体" w:eastAsia="黑体" w:cs="黑体"/>
          <w:b/>
          <w:bCs/>
          <w:sz w:val="32"/>
          <w:szCs w:val="32"/>
          <w:highlight w:val="none"/>
        </w:rPr>
      </w:pPr>
      <w:r>
        <w:rPr>
          <w:rFonts w:hint="eastAsia" w:ascii="黑体" w:hAnsi="黑体" w:eastAsia="黑体" w:cs="黑体"/>
          <w:b w:val="0"/>
          <w:bCs w:val="0"/>
          <w:sz w:val="32"/>
          <w:szCs w:val="32"/>
          <w:highlight w:val="none"/>
          <w:lang w:val="en-US" w:eastAsia="zh-CN"/>
        </w:rPr>
        <w:t>一、参选文件</w:t>
      </w:r>
      <w:r>
        <w:rPr>
          <w:rFonts w:hint="eastAsia" w:ascii="黑体" w:hAnsi="黑体" w:eastAsia="黑体" w:cs="黑体"/>
          <w:b w:val="0"/>
          <w:bCs w:val="0"/>
          <w:sz w:val="32"/>
          <w:szCs w:val="32"/>
          <w:highlight w:val="none"/>
        </w:rPr>
        <w:t>编制主要内容及格式</w:t>
      </w:r>
    </w:p>
    <w:p w14:paraId="3689F0F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14:paraId="7FE00F8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14:paraId="1C69BAE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14:paraId="75965CC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14:paraId="370B797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14:paraId="2B591CC8">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6.资格评审文件（符合参选人须知前附表7</w:t>
      </w:r>
      <w:r>
        <w:rPr>
          <w:rFonts w:hint="eastAsia" w:ascii="仿宋" w:hAnsi="仿宋" w:eastAsia="仿宋"/>
          <w:color w:val="auto"/>
          <w:spacing w:val="15"/>
          <w:kern w:val="0"/>
          <w:sz w:val="28"/>
          <w:szCs w:val="28"/>
          <w:highlight w:val="none"/>
          <w:lang w:val="en-US" w:eastAsia="zh-CN"/>
        </w:rPr>
        <w:t>资格要求的相关证明文件，按附件6格式）</w:t>
      </w:r>
    </w:p>
    <w:p w14:paraId="63A35BA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（1）营业执照复印件，并加盖参选单位公章。</w:t>
      </w:r>
    </w:p>
    <w:p w14:paraId="00DD487E">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（2）资质证书复印件，并加盖参选单位公章。</w:t>
      </w:r>
    </w:p>
    <w:p w14:paraId="14F2EE96">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3）业绩：参选单位独立完成的合同复印件（加盖参选单位公章）（合同应包含首页、信息关键页、签署页（签字盖章完整），且能体现服务内容、合同价款及比选文件要求的其他关键信息，否则不认定为有效业绩）</w:t>
      </w:r>
    </w:p>
    <w:p w14:paraId="59D3F5FD">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（4）拟任本项目负责人</w:t>
      </w:r>
      <w:r>
        <w:rPr>
          <w:rFonts w:hint="eastAsia" w:ascii="仿宋" w:hAnsi="仿宋" w:eastAsia="仿宋" w:cs="仿宋"/>
          <w:color w:val="auto"/>
          <w:spacing w:val="15"/>
          <w:kern w:val="0"/>
          <w:sz w:val="28"/>
          <w:szCs w:val="28"/>
          <w:highlight w:val="none"/>
          <w:u w:val="single"/>
          <w:lang w:val="en-US" w:eastAsia="zh-CN"/>
        </w:rPr>
        <w:t>厨师证</w:t>
      </w:r>
      <w:r>
        <w:rPr>
          <w:rFonts w:hint="eastAsia" w:ascii="仿宋" w:hAnsi="仿宋" w:eastAsia="仿宋" w:cs="仿宋"/>
          <w:color w:val="auto"/>
          <w:spacing w:val="0"/>
          <w:position w:val="0"/>
          <w:sz w:val="28"/>
          <w:szCs w:val="28"/>
          <w:highlight w:val="none"/>
          <w:u w:val="none"/>
          <w:lang w:val="en-US" w:eastAsia="zh-CN"/>
        </w:rPr>
        <w:t>复印件及社保证明，并加盖参选单位公章。</w:t>
      </w:r>
    </w:p>
    <w:p w14:paraId="016F8390">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（5）其他人员</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 xml:space="preserve"> </w:t>
      </w:r>
    </w:p>
    <w:p w14:paraId="231EB864">
      <w:pPr>
        <w:widowControl/>
        <w:spacing w:line="480" w:lineRule="exact"/>
        <w:ind w:firstLine="620" w:firstLineChars="200"/>
        <w:jc w:val="left"/>
        <w:rPr>
          <w:rFonts w:hint="eastAsia" w:ascii="仿宋" w:hAnsi="仿宋" w:eastAsia="仿宋" w:cs="仿宋"/>
          <w:b w:val="0"/>
          <w:bCs w:val="0"/>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w:t>
      </w:r>
      <w:r>
        <w:rPr>
          <w:rFonts w:hint="eastAsia" w:ascii="仿宋" w:hAnsi="仿宋" w:eastAsia="仿宋" w:cs="仿宋"/>
          <w:b w:val="0"/>
          <w:bCs w:val="0"/>
          <w:color w:val="auto"/>
          <w:spacing w:val="15"/>
          <w:kern w:val="0"/>
          <w:sz w:val="28"/>
          <w:szCs w:val="28"/>
          <w:highlight w:val="none"/>
          <w:lang w:val="en-US" w:eastAsia="zh-CN"/>
        </w:rPr>
        <w:t>其他资格要求证明文件（如有，格式自拟）</w:t>
      </w:r>
    </w:p>
    <w:p w14:paraId="098F0398">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的格式报价）</w:t>
      </w:r>
    </w:p>
    <w:p w14:paraId="0BCFB136">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8.信誉要求：提供“信用中国”网站查询后下载信用信息报告自动生成的PDF文件。</w:t>
      </w:r>
    </w:p>
    <w:p w14:paraId="10CA0122">
      <w:pPr>
        <w:widowControl/>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9.关联要求：提供企查查查询首页股东信息及主要人员信息截图。</w:t>
      </w:r>
    </w:p>
    <w:p w14:paraId="0ECEB982">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eastAsia="zh-CN"/>
        </w:rPr>
      </w:pPr>
      <w:r>
        <w:rPr>
          <w:rFonts w:hint="eastAsia" w:ascii="仿宋" w:hAnsi="仿宋" w:eastAsia="仿宋" w:cs="Times New Roman"/>
          <w:color w:val="auto"/>
          <w:spacing w:val="15"/>
          <w:kern w:val="0"/>
          <w:sz w:val="28"/>
          <w:szCs w:val="28"/>
          <w:highlight w:val="none"/>
          <w:lang w:val="en-US" w:eastAsia="zh-CN"/>
        </w:rPr>
        <w:t>10.其他（如有，</w:t>
      </w:r>
      <w:r>
        <w:rPr>
          <w:rFonts w:hint="eastAsia" w:ascii="仿宋" w:hAnsi="仿宋" w:eastAsia="仿宋"/>
          <w:color w:val="auto"/>
          <w:spacing w:val="15"/>
          <w:kern w:val="0"/>
          <w:sz w:val="28"/>
          <w:szCs w:val="28"/>
          <w:highlight w:val="none"/>
          <w:lang w:val="en-US" w:eastAsia="zh-CN"/>
        </w:rPr>
        <w:t>格式自拟</w:t>
      </w:r>
      <w:r>
        <w:rPr>
          <w:rFonts w:hint="eastAsia" w:ascii="仿宋" w:hAnsi="仿宋" w:eastAsia="仿宋"/>
          <w:color w:val="auto"/>
          <w:spacing w:val="15"/>
          <w:kern w:val="0"/>
          <w:sz w:val="28"/>
          <w:szCs w:val="28"/>
          <w:highlight w:val="none"/>
          <w:lang w:eastAsia="zh-CN"/>
        </w:rPr>
        <w:t>）</w:t>
      </w:r>
    </w:p>
    <w:p w14:paraId="120A36B4">
      <w:pPr>
        <w:keepNext w:val="0"/>
        <w:keepLines w:val="0"/>
        <w:pageBreakBefore w:val="0"/>
        <w:widowControl/>
        <w:kinsoku/>
        <w:wordWrap/>
        <w:overflowPunct/>
        <w:topLinePunct w:val="0"/>
        <w:autoSpaceDE/>
        <w:autoSpaceDN/>
        <w:bidi w:val="0"/>
        <w:spacing w:line="480" w:lineRule="exact"/>
        <w:ind w:firstLine="700" w:firstLineChars="200"/>
        <w:jc w:val="both"/>
        <w:rPr>
          <w:rFonts w:hint="eastAsia" w:ascii="黑体" w:hAnsi="黑体" w:eastAsia="黑体" w:cs="黑体"/>
          <w:b w:val="0"/>
          <w:bCs w:val="0"/>
          <w:sz w:val="32"/>
          <w:szCs w:val="32"/>
          <w:highlight w:val="none"/>
        </w:rPr>
      </w:pPr>
      <w:r>
        <w:rPr>
          <w:rFonts w:hint="eastAsia" w:ascii="黑体" w:hAnsi="黑体" w:eastAsia="黑体" w:cs="黑体"/>
          <w:b w:val="0"/>
          <w:bCs w:val="0"/>
          <w:color w:val="auto"/>
          <w:spacing w:val="15"/>
          <w:kern w:val="0"/>
          <w:sz w:val="32"/>
          <w:szCs w:val="32"/>
          <w:highlight w:val="none"/>
          <w:lang w:val="en-US" w:eastAsia="zh-CN"/>
        </w:rPr>
        <w:t>二、参选文件编制要求</w:t>
      </w:r>
    </w:p>
    <w:p w14:paraId="40791D08">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b w:val="0"/>
          <w:bCs w:val="0"/>
          <w:color w:val="auto"/>
          <w:spacing w:val="15"/>
          <w:kern w:val="0"/>
          <w:sz w:val="28"/>
          <w:szCs w:val="28"/>
          <w:highlight w:val="none"/>
          <w:lang w:val="en-US" w:eastAsia="zh-CN"/>
        </w:rPr>
        <w:t>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14:paraId="1479384B">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14:paraId="7243E4BF">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3.参选文件份数。参选文件共</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（电子文件内容为参选文件的扫描件，载体为U盘；副本为正本的复印件，并在封面加盖参选单位公章）。纸质版参选文件须清楚地注明“正本”或“副本”的字样。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14:paraId="2F6E7928">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4.参选文件</w:t>
      </w:r>
      <w:r>
        <w:rPr>
          <w:rFonts w:hint="eastAsia" w:ascii="仿宋" w:hAnsi="仿宋" w:eastAsia="仿宋"/>
          <w:color w:val="auto"/>
          <w:spacing w:val="15"/>
          <w:kern w:val="0"/>
          <w:sz w:val="28"/>
          <w:szCs w:val="28"/>
          <w:highlight w:val="none"/>
        </w:rPr>
        <w:t>装袋后应进行密封、封口应粘贴封口条，</w:t>
      </w:r>
      <w:r>
        <w:rPr>
          <w:rFonts w:hint="eastAsia" w:ascii="仿宋" w:hAnsi="仿宋" w:eastAsia="仿宋"/>
          <w:b w:val="0"/>
          <w:bCs w:val="0"/>
          <w:color w:val="auto"/>
          <w:spacing w:val="15"/>
          <w:kern w:val="0"/>
          <w:sz w:val="28"/>
          <w:szCs w:val="28"/>
          <w:highlight w:val="none"/>
        </w:rPr>
        <w:t>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14:paraId="3BC954D7">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14:paraId="5DE9DEBE">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14:paraId="13775EDB">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val="0"/>
          <w:bCs w:val="0"/>
          <w:color w:val="auto"/>
          <w:kern w:val="0"/>
          <w:sz w:val="28"/>
          <w:szCs w:val="28"/>
          <w:highlight w:val="none"/>
          <w:lang w:eastAsia="zh-CN"/>
        </w:rPr>
      </w:pPr>
      <w:r>
        <w:rPr>
          <w:rFonts w:hint="eastAsia" w:ascii="宋体" w:hAnsi="宋体"/>
          <w:b w:val="0"/>
          <w:bCs w:val="0"/>
          <w:color w:val="auto"/>
          <w:kern w:val="0"/>
          <w:sz w:val="28"/>
          <w:szCs w:val="28"/>
          <w:highlight w:val="none"/>
        </w:rPr>
        <w:t>附件</w:t>
      </w:r>
      <w:r>
        <w:rPr>
          <w:rFonts w:hint="eastAsia"/>
          <w:b w:val="0"/>
          <w:bCs w:val="0"/>
          <w:color w:val="auto"/>
          <w:kern w:val="0"/>
          <w:sz w:val="28"/>
          <w:szCs w:val="28"/>
          <w:highlight w:val="none"/>
        </w:rPr>
        <w:t>1</w:t>
      </w:r>
    </w:p>
    <w:p w14:paraId="1465C626">
      <w:pPr>
        <w:keepNext w:val="0"/>
        <w:keepLines w:val="0"/>
        <w:pageBreakBefore w:val="0"/>
        <w:widowControl/>
        <w:kinsoku/>
        <w:wordWrap/>
        <w:overflowPunct/>
        <w:topLinePunct w:val="0"/>
        <w:autoSpaceDE/>
        <w:autoSpaceDN/>
        <w:bidi w:val="0"/>
        <w:spacing w:line="480" w:lineRule="exact"/>
        <w:jc w:val="center"/>
        <w:rPr>
          <w:b w:val="0"/>
          <w:bCs w:val="0"/>
          <w:color w:val="auto"/>
          <w:kern w:val="0"/>
          <w:sz w:val="40"/>
          <w:szCs w:val="40"/>
          <w:highlight w:val="none"/>
        </w:rPr>
      </w:pPr>
      <w:r>
        <w:rPr>
          <w:rFonts w:hint="eastAsia" w:ascii="黑体" w:hAnsi="黑体" w:eastAsia="黑体" w:cs="黑体"/>
          <w:b w:val="0"/>
          <w:bCs w:val="0"/>
          <w:color w:val="auto"/>
          <w:kern w:val="0"/>
          <w:sz w:val="40"/>
          <w:szCs w:val="40"/>
          <w:highlight w:val="none"/>
        </w:rPr>
        <w:t>比</w:t>
      </w:r>
      <w:r>
        <w:rPr>
          <w:rFonts w:hint="eastAsia" w:ascii="黑体" w:hAnsi="黑体" w:eastAsia="黑体" w:cs="黑体"/>
          <w:b w:val="0"/>
          <w:bCs w:val="0"/>
          <w:color w:val="auto"/>
          <w:kern w:val="0"/>
          <w:sz w:val="40"/>
          <w:szCs w:val="40"/>
          <w:highlight w:val="none"/>
          <w:lang w:val="en-US" w:eastAsia="zh-CN"/>
        </w:rPr>
        <w:t xml:space="preserve"> </w:t>
      </w:r>
      <w:r>
        <w:rPr>
          <w:rFonts w:hint="eastAsia" w:ascii="黑体" w:hAnsi="黑体" w:eastAsia="黑体" w:cs="黑体"/>
          <w:b w:val="0"/>
          <w:bCs w:val="0"/>
          <w:color w:val="auto"/>
          <w:kern w:val="0"/>
          <w:sz w:val="40"/>
          <w:szCs w:val="40"/>
          <w:highlight w:val="none"/>
        </w:rPr>
        <w:t>选</w:t>
      </w:r>
      <w:r>
        <w:rPr>
          <w:rFonts w:hint="eastAsia" w:ascii="黑体" w:hAnsi="黑体" w:eastAsia="黑体" w:cs="黑体"/>
          <w:b w:val="0"/>
          <w:bCs w:val="0"/>
          <w:color w:val="auto"/>
          <w:kern w:val="0"/>
          <w:sz w:val="40"/>
          <w:szCs w:val="40"/>
          <w:highlight w:val="none"/>
          <w:lang w:val="en-US" w:eastAsia="zh-CN"/>
        </w:rPr>
        <w:t xml:space="preserve"> </w:t>
      </w:r>
      <w:r>
        <w:rPr>
          <w:rFonts w:hint="eastAsia" w:ascii="黑体" w:hAnsi="黑体" w:eastAsia="黑体" w:cs="黑体"/>
          <w:b w:val="0"/>
          <w:bCs w:val="0"/>
          <w:color w:val="auto"/>
          <w:kern w:val="0"/>
          <w:sz w:val="40"/>
          <w:szCs w:val="40"/>
          <w:highlight w:val="none"/>
        </w:rPr>
        <w:t>函</w:t>
      </w:r>
    </w:p>
    <w:p w14:paraId="2DF2CBCF">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14:paraId="6A067556">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p>
    <w:p w14:paraId="3A5F8C5F">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464CED50">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olor w:val="auto"/>
          <w:kern w:val="0"/>
          <w:sz w:val="28"/>
          <w:szCs w:val="28"/>
          <w:highlight w:val="none"/>
          <w:u w:val="single"/>
        </w:rPr>
        <w:t>（比选项目名称）</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14:paraId="32FA263C">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14:paraId="0B8C15E8">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食堂劳务承包 </w:t>
      </w:r>
      <w:r>
        <w:rPr>
          <w:rFonts w:hint="eastAsia" w:ascii="仿宋" w:hAnsi="仿宋" w:eastAsia="仿宋"/>
          <w:color w:val="auto"/>
          <w:kern w:val="0"/>
          <w:sz w:val="28"/>
          <w:szCs w:val="28"/>
          <w:highlight w:val="none"/>
        </w:rPr>
        <w:t>服务任务。</w:t>
      </w:r>
    </w:p>
    <w:p w14:paraId="73E8C298">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食堂劳务承包  </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14:paraId="6AF36685">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14:paraId="00006AB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14:paraId="1877D419">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14:paraId="256F0E2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14:paraId="704E8159">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14:paraId="6D95377C">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14:paraId="4FD30BFA">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72885E69">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法定代表人（或授权人）签字并盖章</w:t>
      </w:r>
    </w:p>
    <w:p w14:paraId="591E88E6">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14:paraId="11276F5C">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14:paraId="591D9838">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4DC38377">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val="0"/>
          <w:bCs w:val="0"/>
          <w:color w:val="auto"/>
          <w:kern w:val="0"/>
          <w:sz w:val="28"/>
          <w:szCs w:val="28"/>
          <w:highlight w:val="none"/>
          <w:lang w:eastAsia="zh-CN"/>
        </w:rPr>
      </w:pPr>
      <w:r>
        <w:rPr>
          <w:rFonts w:hint="eastAsia" w:ascii="宋体" w:hAnsi="宋体" w:eastAsia="宋体" w:cs="宋体"/>
          <w:b w:val="0"/>
          <w:bCs w:val="0"/>
          <w:color w:val="auto"/>
          <w:kern w:val="0"/>
          <w:sz w:val="28"/>
          <w:szCs w:val="28"/>
          <w:highlight w:val="none"/>
        </w:rPr>
        <w:t>附件2</w:t>
      </w:r>
    </w:p>
    <w:p w14:paraId="23326D5C">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val="0"/>
          <w:bCs w:val="0"/>
          <w:color w:val="auto"/>
          <w:kern w:val="0"/>
          <w:sz w:val="40"/>
          <w:szCs w:val="40"/>
          <w:highlight w:val="none"/>
        </w:rPr>
      </w:pPr>
      <w:r>
        <w:rPr>
          <w:rFonts w:hint="eastAsia" w:ascii="黑体" w:hAnsi="黑体" w:eastAsia="黑体" w:cs="黑体"/>
          <w:b w:val="0"/>
          <w:bCs w:val="0"/>
          <w:color w:val="auto"/>
          <w:kern w:val="0"/>
          <w:sz w:val="40"/>
          <w:szCs w:val="40"/>
          <w:highlight w:val="none"/>
        </w:rPr>
        <w:t>承</w:t>
      </w:r>
      <w:r>
        <w:rPr>
          <w:rFonts w:hint="eastAsia" w:ascii="黑体" w:hAnsi="黑体" w:eastAsia="黑体" w:cs="黑体"/>
          <w:b w:val="0"/>
          <w:bCs w:val="0"/>
          <w:color w:val="auto"/>
          <w:kern w:val="0"/>
          <w:sz w:val="40"/>
          <w:szCs w:val="40"/>
          <w:highlight w:val="none"/>
          <w:lang w:val="en-US" w:eastAsia="zh-CN"/>
        </w:rPr>
        <w:t xml:space="preserve"> </w:t>
      </w:r>
      <w:r>
        <w:rPr>
          <w:rFonts w:hint="eastAsia" w:ascii="黑体" w:hAnsi="黑体" w:eastAsia="黑体" w:cs="黑体"/>
          <w:b w:val="0"/>
          <w:bCs w:val="0"/>
          <w:color w:val="auto"/>
          <w:kern w:val="0"/>
          <w:sz w:val="40"/>
          <w:szCs w:val="40"/>
          <w:highlight w:val="none"/>
        </w:rPr>
        <w:t>诺</w:t>
      </w:r>
      <w:r>
        <w:rPr>
          <w:rFonts w:hint="eastAsia" w:ascii="黑体" w:hAnsi="黑体" w:eastAsia="黑体" w:cs="黑体"/>
          <w:b w:val="0"/>
          <w:bCs w:val="0"/>
          <w:color w:val="auto"/>
          <w:kern w:val="0"/>
          <w:sz w:val="40"/>
          <w:szCs w:val="40"/>
          <w:highlight w:val="none"/>
          <w:lang w:val="en-US" w:eastAsia="zh-CN"/>
        </w:rPr>
        <w:t xml:space="preserve"> </w:t>
      </w:r>
      <w:r>
        <w:rPr>
          <w:rFonts w:hint="eastAsia" w:ascii="黑体" w:hAnsi="黑体" w:eastAsia="黑体" w:cs="黑体"/>
          <w:b w:val="0"/>
          <w:bCs w:val="0"/>
          <w:color w:val="auto"/>
          <w:kern w:val="0"/>
          <w:sz w:val="40"/>
          <w:szCs w:val="40"/>
          <w:highlight w:val="none"/>
        </w:rPr>
        <w:t>函</w:t>
      </w:r>
    </w:p>
    <w:p w14:paraId="64032FDA">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14:paraId="409B252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eastAsia="zh-CN"/>
        </w:rPr>
        <w:t>1.</w:t>
      </w:r>
      <w:r>
        <w:rPr>
          <w:rFonts w:hint="eastAsia" w:ascii="仿宋" w:hAnsi="仿宋" w:eastAsia="仿宋"/>
          <w:color w:val="auto"/>
          <w:kern w:val="0"/>
          <w:sz w:val="28"/>
          <w:szCs w:val="28"/>
          <w:highlight w:val="none"/>
        </w:rPr>
        <w:t>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食堂劳务承包  </w:t>
      </w:r>
      <w:r>
        <w:rPr>
          <w:rFonts w:hint="eastAsia" w:ascii="仿宋" w:hAnsi="仿宋" w:eastAsia="仿宋"/>
          <w:color w:val="auto"/>
          <w:kern w:val="0"/>
          <w:sz w:val="28"/>
          <w:szCs w:val="28"/>
          <w:highlight w:val="none"/>
        </w:rPr>
        <w:t>服务业务。</w:t>
      </w:r>
    </w:p>
    <w:p w14:paraId="4CA485D5">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eastAsia="zh-CN"/>
        </w:rPr>
        <w:t>2.</w:t>
      </w:r>
      <w:r>
        <w:rPr>
          <w:rFonts w:hint="eastAsia" w:ascii="仿宋" w:hAnsi="仿宋" w:eastAsia="仿宋"/>
          <w:color w:val="auto"/>
          <w:kern w:val="0"/>
          <w:sz w:val="28"/>
          <w:szCs w:val="28"/>
          <w:highlight w:val="none"/>
        </w:rPr>
        <w:t>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14:paraId="0C45707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eastAsia="zh-CN"/>
        </w:rPr>
        <w:t>3.</w:t>
      </w:r>
      <w:r>
        <w:rPr>
          <w:rFonts w:hint="eastAsia" w:ascii="仿宋" w:hAnsi="仿宋" w:eastAsia="仿宋"/>
          <w:color w:val="auto"/>
          <w:kern w:val="0"/>
          <w:sz w:val="28"/>
          <w:szCs w:val="28"/>
          <w:highlight w:val="none"/>
        </w:rPr>
        <w:t>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14:paraId="695C732A">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eastAsia="zh-CN"/>
        </w:rPr>
        <w:t>4.</w:t>
      </w:r>
      <w:r>
        <w:rPr>
          <w:rFonts w:hint="eastAsia" w:ascii="仿宋" w:hAnsi="仿宋" w:eastAsia="仿宋"/>
          <w:color w:val="auto"/>
          <w:kern w:val="0"/>
          <w:sz w:val="28"/>
          <w:szCs w:val="28"/>
          <w:highlight w:val="none"/>
        </w:rPr>
        <w:t>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14:paraId="03B305A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eastAsia="zh-CN"/>
        </w:rPr>
        <w:t>5.</w:t>
      </w:r>
      <w:r>
        <w:rPr>
          <w:rFonts w:hint="eastAsia" w:ascii="仿宋" w:hAnsi="仿宋" w:eastAsia="仿宋"/>
          <w:color w:val="auto"/>
          <w:kern w:val="0"/>
          <w:sz w:val="28"/>
          <w:szCs w:val="28"/>
          <w:highlight w:val="none"/>
        </w:rPr>
        <w:t>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w:t>
      </w:r>
      <w:r>
        <w:rPr>
          <w:rFonts w:hint="eastAsia" w:ascii="仿宋" w:hAnsi="仿宋" w:eastAsia="仿宋"/>
          <w:color w:val="auto"/>
          <w:kern w:val="0"/>
          <w:sz w:val="28"/>
          <w:szCs w:val="28"/>
          <w:highlight w:val="none"/>
          <w:lang w:eastAsia="zh-CN"/>
        </w:rPr>
        <w:t>作</w:t>
      </w:r>
      <w:r>
        <w:rPr>
          <w:rFonts w:hint="eastAsia" w:ascii="仿宋" w:hAnsi="仿宋" w:eastAsia="仿宋"/>
          <w:color w:val="auto"/>
          <w:kern w:val="0"/>
          <w:sz w:val="28"/>
          <w:szCs w:val="28"/>
          <w:highlight w:val="none"/>
        </w:rPr>
        <w:t>更换。</w:t>
      </w:r>
    </w:p>
    <w:p w14:paraId="185F4778">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4EBD8F1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4D8E46F0">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14:paraId="135AEC22">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14:paraId="29635BE4">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14:paraId="6A8FA179">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14:paraId="0472784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14:paraId="24C05CDF">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324D7159">
      <w:pPr>
        <w:pStyle w:val="17"/>
        <w:rPr>
          <w:color w:val="auto"/>
          <w:highlight w:val="none"/>
        </w:rPr>
      </w:pPr>
    </w:p>
    <w:p w14:paraId="3D1DBF24">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14:paraId="73C056F2">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257842C4">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5AC12F16">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04D05E92">
      <w:pPr>
        <w:pStyle w:val="6"/>
        <w:ind w:left="0" w:leftChars="0" w:firstLine="0" w:firstLineChars="0"/>
        <w:rPr>
          <w:color w:val="auto"/>
          <w:highlight w:val="none"/>
        </w:rPr>
      </w:pPr>
    </w:p>
    <w:p w14:paraId="6B30C48A">
      <w:pPr>
        <w:keepNext w:val="0"/>
        <w:keepLines w:val="0"/>
        <w:pageBreakBefore w:val="0"/>
        <w:kinsoku/>
        <w:wordWrap/>
        <w:overflowPunct/>
        <w:topLinePunct w:val="0"/>
        <w:autoSpaceDE/>
        <w:autoSpaceDN/>
        <w:bidi w:val="0"/>
        <w:spacing w:line="480" w:lineRule="exact"/>
        <w:rPr>
          <w:rFonts w:hint="eastAsia" w:ascii="宋体" w:hAnsi="宋体" w:eastAsia="宋体"/>
          <w:b w:val="0"/>
          <w:bCs w:val="0"/>
          <w:color w:val="auto"/>
          <w:spacing w:val="15"/>
          <w:kern w:val="0"/>
          <w:sz w:val="28"/>
          <w:szCs w:val="28"/>
          <w:highlight w:val="none"/>
          <w:lang w:val="en-US" w:eastAsia="zh-CN"/>
        </w:rPr>
      </w:pPr>
      <w:r>
        <w:rPr>
          <w:rFonts w:hint="eastAsia" w:ascii="宋体" w:hAnsi="宋体" w:eastAsia="宋体"/>
          <w:b w:val="0"/>
          <w:bCs w:val="0"/>
          <w:color w:val="auto"/>
          <w:spacing w:val="15"/>
          <w:kern w:val="0"/>
          <w:sz w:val="28"/>
          <w:szCs w:val="28"/>
          <w:highlight w:val="none"/>
          <w:lang w:val="en-US" w:eastAsia="zh-CN"/>
        </w:rPr>
        <w:t>附件3</w:t>
      </w:r>
    </w:p>
    <w:p w14:paraId="32A93315">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val="0"/>
          <w:bCs w:val="0"/>
          <w:color w:val="auto"/>
          <w:spacing w:val="15"/>
          <w:kern w:val="0"/>
          <w:sz w:val="40"/>
          <w:szCs w:val="40"/>
          <w:highlight w:val="none"/>
        </w:rPr>
      </w:pPr>
      <w:r>
        <w:rPr>
          <w:rFonts w:hint="eastAsia" w:ascii="黑体" w:hAnsi="黑体" w:eastAsia="黑体" w:cs="黑体"/>
          <w:b w:val="0"/>
          <w:bCs w:val="0"/>
          <w:color w:val="auto"/>
          <w:spacing w:val="15"/>
          <w:kern w:val="0"/>
          <w:sz w:val="40"/>
          <w:szCs w:val="40"/>
          <w:highlight w:val="none"/>
        </w:rPr>
        <w:t>法定代表人身份证明</w:t>
      </w:r>
    </w:p>
    <w:p w14:paraId="7D72C0CF">
      <w:pPr>
        <w:adjustRightInd w:val="0"/>
        <w:snapToGrid w:val="0"/>
        <w:spacing w:line="360" w:lineRule="auto"/>
        <w:rPr>
          <w:rFonts w:hint="eastAsia" w:ascii="仿宋_GB2312" w:hAnsi="华文仿宋" w:eastAsia="仿宋_GB2312"/>
          <w:color w:val="auto"/>
          <w:sz w:val="28"/>
          <w:szCs w:val="28"/>
          <w:highlight w:val="none"/>
        </w:rPr>
      </w:pPr>
    </w:p>
    <w:p w14:paraId="3D405CA2">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14:paraId="531AFEB3">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3E9E84F5">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5808ADAA">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5AC63782">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3314C588">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8"/>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288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21D2E61E">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14:paraId="3B6B0B39">
      <w:pPr>
        <w:adjustRightInd w:val="0"/>
        <w:snapToGrid w:val="0"/>
        <w:spacing w:line="360" w:lineRule="auto"/>
        <w:rPr>
          <w:rFonts w:hint="eastAsia" w:ascii="仿宋" w:hAnsi="仿宋" w:eastAsia="仿宋" w:cs="仿宋"/>
          <w:color w:val="auto"/>
          <w:sz w:val="28"/>
          <w:szCs w:val="28"/>
          <w:highlight w:val="none"/>
        </w:rPr>
      </w:pPr>
    </w:p>
    <w:p w14:paraId="4B90D3BB">
      <w:pPr>
        <w:adjustRightInd w:val="0"/>
        <w:snapToGrid w:val="0"/>
        <w:spacing w:line="360" w:lineRule="auto"/>
        <w:rPr>
          <w:rFonts w:hint="eastAsia" w:ascii="仿宋" w:hAnsi="仿宋" w:eastAsia="仿宋" w:cs="仿宋"/>
          <w:color w:val="auto"/>
          <w:sz w:val="28"/>
          <w:szCs w:val="28"/>
          <w:highlight w:val="none"/>
        </w:rPr>
      </w:pPr>
    </w:p>
    <w:p w14:paraId="297E5B1E">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0C2906E3">
      <w:pPr>
        <w:adjustRightInd w:val="0"/>
        <w:snapToGrid w:val="0"/>
        <w:spacing w:line="360" w:lineRule="auto"/>
        <w:ind w:firstLine="2511" w:firstLineChars="897"/>
        <w:rPr>
          <w:rFonts w:hint="eastAsia" w:ascii="仿宋" w:hAnsi="仿宋" w:eastAsia="仿宋" w:cs="仿宋"/>
          <w:color w:val="auto"/>
          <w:sz w:val="28"/>
          <w:szCs w:val="28"/>
          <w:highlight w:val="none"/>
        </w:rPr>
      </w:pPr>
    </w:p>
    <w:p w14:paraId="0D3B7D3F">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14:paraId="37426FEC">
      <w:pPr>
        <w:widowControl/>
        <w:topLinePunct/>
        <w:spacing w:line="620" w:lineRule="exact"/>
        <w:rPr>
          <w:rFonts w:hint="eastAsia" w:ascii="仿宋" w:hAnsi="仿宋" w:eastAsia="仿宋" w:cs="仿宋"/>
          <w:color w:val="auto"/>
          <w:kern w:val="0"/>
          <w:sz w:val="28"/>
          <w:szCs w:val="28"/>
          <w:highlight w:val="none"/>
          <w:lang w:val="en-US" w:eastAsia="zh-CN"/>
        </w:rPr>
      </w:pPr>
    </w:p>
    <w:p w14:paraId="67AA91D7">
      <w:pPr>
        <w:widowControl/>
        <w:topLinePunct/>
        <w:spacing w:line="620" w:lineRule="exact"/>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14:paraId="15EE4908">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14:paraId="1DEFA1B5">
      <w:pPr>
        <w:keepNext w:val="0"/>
        <w:keepLines w:val="0"/>
        <w:pageBreakBefore w:val="0"/>
        <w:kinsoku/>
        <w:wordWrap/>
        <w:overflowPunct/>
        <w:topLinePunct w:val="0"/>
        <w:autoSpaceDE/>
        <w:autoSpaceDN/>
        <w:bidi w:val="0"/>
        <w:spacing w:line="480" w:lineRule="exact"/>
        <w:rPr>
          <w:rFonts w:hint="eastAsia" w:ascii="宋体" w:hAnsi="宋体" w:eastAsia="宋体"/>
          <w:b w:val="0"/>
          <w:bCs w:val="0"/>
          <w:color w:val="auto"/>
          <w:spacing w:val="15"/>
          <w:kern w:val="0"/>
          <w:sz w:val="28"/>
          <w:szCs w:val="28"/>
          <w:highlight w:val="none"/>
          <w:lang w:val="en-US" w:eastAsia="zh-CN"/>
        </w:rPr>
      </w:pPr>
      <w:r>
        <w:rPr>
          <w:rFonts w:hint="eastAsia" w:ascii="宋体" w:hAnsi="宋体" w:eastAsia="宋体"/>
          <w:b w:val="0"/>
          <w:bCs w:val="0"/>
          <w:color w:val="auto"/>
          <w:spacing w:val="15"/>
          <w:kern w:val="0"/>
          <w:sz w:val="28"/>
          <w:szCs w:val="28"/>
          <w:highlight w:val="none"/>
          <w:lang w:val="en-US" w:eastAsia="zh-CN"/>
        </w:rPr>
        <w:t>附件4</w:t>
      </w:r>
    </w:p>
    <w:p w14:paraId="178D4728">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val="0"/>
          <w:bCs w:val="0"/>
          <w:color w:val="auto"/>
          <w:spacing w:val="15"/>
          <w:kern w:val="0"/>
          <w:sz w:val="40"/>
          <w:szCs w:val="40"/>
          <w:highlight w:val="none"/>
          <w:lang w:val="en-US" w:eastAsia="zh-CN"/>
        </w:rPr>
      </w:pPr>
      <w:r>
        <w:rPr>
          <w:rFonts w:hint="eastAsia" w:ascii="黑体" w:hAnsi="黑体" w:eastAsia="黑体" w:cs="黑体"/>
          <w:b w:val="0"/>
          <w:bCs w:val="0"/>
          <w:color w:val="auto"/>
          <w:spacing w:val="15"/>
          <w:kern w:val="0"/>
          <w:sz w:val="40"/>
          <w:szCs w:val="40"/>
          <w:highlight w:val="none"/>
          <w:lang w:val="en-US" w:eastAsia="zh-CN"/>
        </w:rPr>
        <w:t>法定代表人授权委托书</w:t>
      </w:r>
    </w:p>
    <w:p w14:paraId="4BC7B4B6">
      <w:pPr>
        <w:rPr>
          <w:rFonts w:hint="eastAsia"/>
          <w:color w:val="auto"/>
          <w:highlight w:val="none"/>
        </w:rPr>
      </w:pPr>
    </w:p>
    <w:p w14:paraId="3246812F">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w:t>
      </w:r>
      <w:r>
        <w:rPr>
          <w:rFonts w:hint="eastAsia" w:ascii="仿宋" w:hAnsi="仿宋" w:eastAsia="仿宋" w:cs="仿宋"/>
          <w:color w:val="auto"/>
          <w:kern w:val="0"/>
          <w:sz w:val="28"/>
          <w:szCs w:val="28"/>
          <w:highlight w:val="none"/>
          <w:u w:val="single"/>
          <w:lang w:eastAsia="zh-CN"/>
        </w:rPr>
        <w:t>采购</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14:paraId="1178BAF8">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14:paraId="09BBBF06">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861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35930A01">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14:paraId="3A633EFF">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14:paraId="39DC32D3">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14:paraId="32DDDC72">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14:paraId="4D5D52FC">
      <w:pPr>
        <w:pStyle w:val="7"/>
        <w:rPr>
          <w:rFonts w:hint="eastAsia" w:ascii="仿宋" w:hAnsi="仿宋" w:eastAsia="仿宋" w:cs="仿宋"/>
          <w:color w:val="auto"/>
          <w:sz w:val="28"/>
          <w:szCs w:val="28"/>
          <w:highlight w:val="none"/>
        </w:rPr>
      </w:pPr>
    </w:p>
    <w:p w14:paraId="7F1D6D4D">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14:paraId="5BFDECC4">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14:paraId="00E72949">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5B5D0892">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val="0"/>
          <w:bCs w:val="0"/>
          <w:color w:val="auto"/>
          <w:kern w:val="0"/>
          <w:sz w:val="28"/>
          <w:szCs w:val="28"/>
          <w:highlight w:val="none"/>
          <w:lang w:val="en-US" w:eastAsia="zh-CN"/>
        </w:rPr>
      </w:pPr>
      <w:r>
        <w:rPr>
          <w:rFonts w:hint="eastAsia" w:ascii="宋体" w:hAnsi="宋体" w:eastAsia="宋体" w:cs="宋体"/>
          <w:b w:val="0"/>
          <w:bCs w:val="0"/>
          <w:color w:val="auto"/>
          <w:kern w:val="0"/>
          <w:sz w:val="28"/>
          <w:szCs w:val="28"/>
          <w:highlight w:val="none"/>
        </w:rPr>
        <w:t>附件</w:t>
      </w:r>
      <w:r>
        <w:rPr>
          <w:rFonts w:hint="eastAsia" w:ascii="宋体" w:hAnsi="宋体" w:eastAsia="宋体" w:cs="宋体"/>
          <w:b w:val="0"/>
          <w:bCs w:val="0"/>
          <w:color w:val="auto"/>
          <w:kern w:val="0"/>
          <w:sz w:val="28"/>
          <w:szCs w:val="28"/>
          <w:highlight w:val="none"/>
          <w:lang w:val="en-US" w:eastAsia="zh-CN"/>
        </w:rPr>
        <w:t>5</w:t>
      </w:r>
    </w:p>
    <w:p w14:paraId="4F7F81D6">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val="0"/>
          <w:bCs w:val="0"/>
          <w:color w:val="auto"/>
          <w:kern w:val="0"/>
          <w:sz w:val="40"/>
          <w:szCs w:val="40"/>
          <w:highlight w:val="none"/>
          <w:lang w:val="en-US" w:eastAsia="zh-CN"/>
        </w:rPr>
      </w:pPr>
      <w:r>
        <w:rPr>
          <w:rFonts w:hint="eastAsia" w:ascii="黑体" w:hAnsi="黑体" w:eastAsia="黑体" w:cs="黑体"/>
          <w:b w:val="0"/>
          <w:bCs w:val="0"/>
          <w:color w:val="auto"/>
          <w:kern w:val="0"/>
          <w:sz w:val="40"/>
          <w:szCs w:val="40"/>
          <w:highlight w:val="none"/>
          <w:lang w:val="en-US" w:eastAsia="zh-CN"/>
        </w:rPr>
        <w:t>参选人基本情况表</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208B21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7C53ED9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5D4D3835">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74451454">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14:paraId="0621D17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11CCBF52">
            <w:pPr>
              <w:topLinePunct/>
              <w:spacing w:line="440" w:lineRule="exact"/>
              <w:jc w:val="center"/>
              <w:rPr>
                <w:rFonts w:hint="eastAsia" w:ascii="仿宋" w:hAnsi="仿宋" w:eastAsia="仿宋" w:cs="仿宋"/>
                <w:color w:val="auto"/>
                <w:sz w:val="24"/>
                <w:szCs w:val="24"/>
                <w:highlight w:val="none"/>
              </w:rPr>
            </w:pPr>
          </w:p>
        </w:tc>
      </w:tr>
      <w:tr w14:paraId="0421C6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72963B64">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06620960">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03D7AE4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65E52D22">
            <w:pPr>
              <w:topLinePunct/>
              <w:spacing w:line="440" w:lineRule="exact"/>
              <w:jc w:val="center"/>
              <w:rPr>
                <w:rFonts w:hint="eastAsia" w:ascii="仿宋" w:hAnsi="仿宋" w:eastAsia="仿宋" w:cs="仿宋"/>
                <w:color w:val="auto"/>
                <w:sz w:val="24"/>
                <w:szCs w:val="24"/>
                <w:highlight w:val="none"/>
              </w:rPr>
            </w:pPr>
          </w:p>
        </w:tc>
      </w:tr>
      <w:tr w14:paraId="566299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65FBF52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14:paraId="4D8AFC0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FF4D18C">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6D80702C">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02CA1FEC">
            <w:pPr>
              <w:topLinePunct/>
              <w:spacing w:line="440" w:lineRule="exact"/>
              <w:jc w:val="center"/>
              <w:rPr>
                <w:rFonts w:hint="eastAsia" w:ascii="仿宋" w:hAnsi="仿宋" w:eastAsia="仿宋" w:cs="仿宋"/>
                <w:color w:val="auto"/>
                <w:sz w:val="24"/>
                <w:szCs w:val="24"/>
                <w:highlight w:val="none"/>
              </w:rPr>
            </w:pPr>
          </w:p>
        </w:tc>
      </w:tr>
      <w:tr w14:paraId="77C438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5BD010F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14:paraId="545ED69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404078D">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7F08DBA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14:paraId="6DB4902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0FD299A9">
            <w:pPr>
              <w:topLinePunct/>
              <w:spacing w:line="440" w:lineRule="exact"/>
              <w:jc w:val="center"/>
              <w:rPr>
                <w:rFonts w:hint="eastAsia" w:ascii="仿宋" w:hAnsi="仿宋" w:eastAsia="仿宋" w:cs="仿宋"/>
                <w:color w:val="auto"/>
                <w:sz w:val="24"/>
                <w:szCs w:val="24"/>
                <w:highlight w:val="none"/>
              </w:rPr>
            </w:pPr>
          </w:p>
        </w:tc>
      </w:tr>
      <w:tr w14:paraId="1569E4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08491AF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F3C9E5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17E8648A">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7719018F">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4B483DD">
            <w:pPr>
              <w:topLinePunct/>
              <w:spacing w:line="440" w:lineRule="exact"/>
              <w:ind w:firstLine="120" w:firstLineChars="50"/>
              <w:jc w:val="center"/>
              <w:rPr>
                <w:rFonts w:hint="eastAsia" w:ascii="仿宋" w:hAnsi="仿宋" w:eastAsia="仿宋" w:cs="仿宋"/>
                <w:color w:val="auto"/>
                <w:sz w:val="24"/>
                <w:szCs w:val="24"/>
                <w:highlight w:val="none"/>
              </w:rPr>
            </w:pPr>
          </w:p>
        </w:tc>
      </w:tr>
      <w:tr w14:paraId="1E76C0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A3EB2A5">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099AD1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246E8E2">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57BB3C3">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15F3CD7">
            <w:pPr>
              <w:topLinePunct/>
              <w:spacing w:line="440" w:lineRule="exact"/>
              <w:ind w:firstLine="120" w:firstLineChars="50"/>
              <w:jc w:val="center"/>
              <w:rPr>
                <w:rFonts w:hint="eastAsia" w:ascii="仿宋" w:hAnsi="仿宋" w:eastAsia="仿宋" w:cs="仿宋"/>
                <w:color w:val="auto"/>
                <w:sz w:val="24"/>
                <w:szCs w:val="24"/>
                <w:highlight w:val="none"/>
              </w:rPr>
            </w:pPr>
          </w:p>
        </w:tc>
      </w:tr>
      <w:tr w14:paraId="1DCBFC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653B049">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BA1308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8BD88E7">
            <w:pPr>
              <w:topLinePunct/>
              <w:spacing w:line="440" w:lineRule="exact"/>
              <w:ind w:firstLine="120" w:firstLineChars="50"/>
              <w:jc w:val="center"/>
              <w:rPr>
                <w:rFonts w:hint="eastAsia" w:ascii="仿宋" w:hAnsi="仿宋" w:eastAsia="仿宋" w:cs="仿宋"/>
                <w:color w:val="auto"/>
                <w:sz w:val="24"/>
                <w:szCs w:val="24"/>
                <w:highlight w:val="none"/>
              </w:rPr>
            </w:pPr>
          </w:p>
        </w:tc>
      </w:tr>
      <w:tr w14:paraId="305761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FAAA3F8">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9BC221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F3773ED">
            <w:pPr>
              <w:topLinePunct/>
              <w:spacing w:line="440" w:lineRule="exact"/>
              <w:ind w:firstLine="120" w:firstLineChars="50"/>
              <w:jc w:val="center"/>
              <w:rPr>
                <w:rFonts w:hint="eastAsia" w:ascii="仿宋" w:hAnsi="仿宋" w:eastAsia="仿宋" w:cs="仿宋"/>
                <w:color w:val="auto"/>
                <w:sz w:val="24"/>
                <w:szCs w:val="24"/>
                <w:highlight w:val="none"/>
              </w:rPr>
            </w:pPr>
          </w:p>
        </w:tc>
      </w:tr>
      <w:tr w14:paraId="0BD59F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1A768B6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A665A26">
            <w:pPr>
              <w:topLinePunct/>
              <w:spacing w:line="440" w:lineRule="exact"/>
              <w:jc w:val="center"/>
              <w:rPr>
                <w:rFonts w:hint="eastAsia" w:ascii="仿宋" w:hAnsi="仿宋" w:eastAsia="仿宋" w:cs="仿宋"/>
                <w:color w:val="auto"/>
                <w:sz w:val="24"/>
                <w:szCs w:val="24"/>
                <w:highlight w:val="none"/>
              </w:rPr>
            </w:pPr>
          </w:p>
        </w:tc>
      </w:tr>
      <w:tr w14:paraId="3F7B0F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DDDCCB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2056A6C">
            <w:pPr>
              <w:topLinePunct/>
              <w:spacing w:line="440" w:lineRule="exact"/>
              <w:jc w:val="center"/>
              <w:rPr>
                <w:rFonts w:hint="eastAsia" w:ascii="仿宋" w:hAnsi="仿宋" w:eastAsia="仿宋" w:cs="仿宋"/>
                <w:color w:val="auto"/>
                <w:sz w:val="24"/>
                <w:szCs w:val="24"/>
                <w:highlight w:val="none"/>
              </w:rPr>
            </w:pPr>
          </w:p>
        </w:tc>
      </w:tr>
      <w:tr w14:paraId="0DB180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540EF1A">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F1A1DA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2897C5D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14:paraId="7D4752E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A2F3F4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43B356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4BFFFED">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9D3540E">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6708710A">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48D7525">
            <w:pPr>
              <w:topLinePunct/>
              <w:spacing w:line="440" w:lineRule="exact"/>
              <w:jc w:val="center"/>
              <w:rPr>
                <w:rFonts w:hint="eastAsia" w:ascii="仿宋" w:hAnsi="仿宋" w:eastAsia="仿宋" w:cs="仿宋"/>
                <w:color w:val="auto"/>
                <w:sz w:val="24"/>
                <w:szCs w:val="24"/>
                <w:highlight w:val="none"/>
              </w:rPr>
            </w:pPr>
          </w:p>
        </w:tc>
      </w:tr>
      <w:tr w14:paraId="39C375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4B9E7F7">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97C9EAA">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184F02F6">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1D13701">
            <w:pPr>
              <w:topLinePunct/>
              <w:spacing w:line="440" w:lineRule="exact"/>
              <w:jc w:val="center"/>
              <w:rPr>
                <w:rFonts w:hint="eastAsia" w:ascii="仿宋" w:hAnsi="仿宋" w:eastAsia="仿宋" w:cs="仿宋"/>
                <w:color w:val="auto"/>
                <w:sz w:val="24"/>
                <w:szCs w:val="24"/>
                <w:highlight w:val="none"/>
              </w:rPr>
            </w:pPr>
          </w:p>
        </w:tc>
      </w:tr>
      <w:tr w14:paraId="7FA742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C77ABE6">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811FF63">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784EE5AE">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DF7B091">
            <w:pPr>
              <w:topLinePunct/>
              <w:spacing w:line="440" w:lineRule="exact"/>
              <w:jc w:val="center"/>
              <w:rPr>
                <w:rFonts w:hint="eastAsia" w:ascii="仿宋" w:hAnsi="仿宋" w:eastAsia="仿宋" w:cs="仿宋"/>
                <w:color w:val="auto"/>
                <w:sz w:val="24"/>
                <w:szCs w:val="24"/>
                <w:highlight w:val="none"/>
              </w:rPr>
            </w:pPr>
          </w:p>
        </w:tc>
      </w:tr>
      <w:tr w14:paraId="571FF1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797DBC6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494BF766">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14:paraId="181D7274">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4ECABC2">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67329D9A">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71E21CD3">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385987EA">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sectPr>
          <w:headerReference r:id="rId11" w:type="default"/>
          <w:footerReference r:id="rId12" w:type="default"/>
          <w:pgSz w:w="11906" w:h="16838"/>
          <w:pgMar w:top="1440" w:right="1800" w:bottom="1440" w:left="1800" w:header="851" w:footer="992" w:gutter="0"/>
          <w:pgNumType w:fmt="decimal"/>
          <w:cols w:space="425" w:num="1"/>
          <w:docGrid w:type="lines" w:linePitch="312" w:charSpace="0"/>
        </w:sectPr>
      </w:pPr>
    </w:p>
    <w:p w14:paraId="1D1334C7">
      <w:pPr>
        <w:widowControl/>
        <w:spacing w:line="480" w:lineRule="exact"/>
        <w:rPr>
          <w:rFonts w:hint="eastAsia" w:ascii="宋体" w:hAnsi="宋体" w:cs="宋体"/>
          <w:b w:val="0"/>
          <w:bCs w:val="0"/>
          <w:kern w:val="0"/>
          <w:sz w:val="28"/>
          <w:szCs w:val="28"/>
          <w:highlight w:val="none"/>
        </w:rPr>
      </w:pPr>
      <w:r>
        <w:rPr>
          <w:rFonts w:hint="eastAsia" w:ascii="宋体" w:hAnsi="宋体" w:cs="宋体"/>
          <w:b w:val="0"/>
          <w:bCs w:val="0"/>
          <w:kern w:val="0"/>
          <w:sz w:val="28"/>
          <w:szCs w:val="28"/>
          <w:highlight w:val="none"/>
        </w:rPr>
        <w:t>附件6</w:t>
      </w:r>
    </w:p>
    <w:p w14:paraId="06217B99">
      <w:pPr>
        <w:widowControl/>
        <w:spacing w:line="480" w:lineRule="exact"/>
        <w:jc w:val="center"/>
        <w:rPr>
          <w:rFonts w:hint="eastAsia" w:ascii="黑体" w:hAnsi="黑体" w:eastAsia="黑体" w:cs="黑体"/>
          <w:b w:val="0"/>
          <w:bCs w:val="0"/>
          <w:kern w:val="0"/>
          <w:sz w:val="40"/>
          <w:szCs w:val="40"/>
          <w:highlight w:val="none"/>
          <w:lang w:val="en-US" w:eastAsia="zh-CN"/>
        </w:rPr>
      </w:pPr>
      <w:r>
        <w:rPr>
          <w:rFonts w:hint="eastAsia" w:ascii="黑体" w:hAnsi="黑体" w:eastAsia="黑体" w:cs="黑体"/>
          <w:b w:val="0"/>
          <w:bCs w:val="0"/>
          <w:kern w:val="0"/>
          <w:sz w:val="40"/>
          <w:szCs w:val="40"/>
          <w:highlight w:val="none"/>
          <w:lang w:val="en-US" w:eastAsia="zh-CN"/>
        </w:rPr>
        <w:t>资格条件证明文件</w:t>
      </w:r>
    </w:p>
    <w:p w14:paraId="2DF800FB">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p>
    <w:p w14:paraId="325E2FE5">
      <w:pPr>
        <w:rPr>
          <w:rFonts w:hint="eastAsia" w:ascii="仿宋" w:hAnsi="仿宋" w:eastAsia="仿宋" w:cs="仿宋"/>
          <w:b w:val="0"/>
          <w:bCs w:val="0"/>
          <w:color w:val="auto"/>
          <w:spacing w:val="15"/>
          <w:kern w:val="0"/>
          <w:sz w:val="28"/>
          <w:szCs w:val="28"/>
          <w:highlight w:val="none"/>
          <w:lang w:val="en-US" w:eastAsia="zh-CN"/>
        </w:rPr>
      </w:pPr>
    </w:p>
    <w:p w14:paraId="170AB95F">
      <w:pPr>
        <w:rPr>
          <w:rFonts w:hint="eastAsia" w:ascii="宋体" w:hAnsi="宋体" w:eastAsia="宋体" w:cs="宋体"/>
          <w:b w:val="0"/>
          <w:bCs w:val="0"/>
          <w:color w:val="auto"/>
          <w:kern w:val="0"/>
          <w:sz w:val="28"/>
          <w:szCs w:val="28"/>
          <w:highlight w:val="none"/>
          <w:lang w:val="en-US" w:eastAsia="zh-CN"/>
        </w:rPr>
      </w:pPr>
      <w:r>
        <w:rPr>
          <w:rFonts w:hint="eastAsia" w:ascii="仿宋" w:hAnsi="仿宋" w:eastAsia="仿宋" w:cs="仿宋"/>
          <w:b w:val="0"/>
          <w:bCs w:val="0"/>
          <w:color w:val="auto"/>
          <w:spacing w:val="15"/>
          <w:kern w:val="0"/>
          <w:sz w:val="28"/>
          <w:szCs w:val="28"/>
          <w:highlight w:val="none"/>
          <w:lang w:val="en-US" w:eastAsia="zh-CN"/>
        </w:rPr>
        <w:br w:type="page"/>
      </w:r>
      <w:r>
        <w:rPr>
          <w:rFonts w:hint="eastAsia" w:ascii="宋体" w:hAnsi="宋体" w:eastAsia="宋体" w:cs="宋体"/>
          <w:b w:val="0"/>
          <w:bCs w:val="0"/>
          <w:color w:val="auto"/>
          <w:kern w:val="0"/>
          <w:sz w:val="28"/>
          <w:szCs w:val="28"/>
          <w:highlight w:val="none"/>
        </w:rPr>
        <w:t>附件</w:t>
      </w:r>
      <w:r>
        <w:rPr>
          <w:rFonts w:hint="eastAsia" w:ascii="宋体" w:hAnsi="宋体" w:cs="宋体"/>
          <w:b w:val="0"/>
          <w:bCs w:val="0"/>
          <w:color w:val="auto"/>
          <w:kern w:val="0"/>
          <w:sz w:val="28"/>
          <w:szCs w:val="28"/>
          <w:highlight w:val="none"/>
          <w:lang w:val="en-US" w:eastAsia="zh-CN"/>
        </w:rPr>
        <w:t>7</w:t>
      </w:r>
    </w:p>
    <w:p w14:paraId="21F53E90">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val="0"/>
          <w:bCs w:val="0"/>
          <w:color w:val="auto"/>
          <w:kern w:val="0"/>
          <w:sz w:val="40"/>
          <w:szCs w:val="40"/>
          <w:highlight w:val="none"/>
          <w:lang w:val="en-US" w:eastAsia="zh-CN"/>
        </w:rPr>
      </w:pPr>
      <w:r>
        <w:rPr>
          <w:rFonts w:hint="eastAsia" w:ascii="黑体" w:hAnsi="黑体" w:eastAsia="黑体" w:cs="黑体"/>
          <w:b w:val="0"/>
          <w:bCs w:val="0"/>
          <w:color w:val="auto"/>
          <w:kern w:val="0"/>
          <w:sz w:val="40"/>
          <w:szCs w:val="40"/>
          <w:highlight w:val="none"/>
        </w:rPr>
        <w:t>报价</w:t>
      </w:r>
      <w:r>
        <w:rPr>
          <w:rFonts w:hint="eastAsia" w:ascii="黑体" w:hAnsi="黑体" w:eastAsia="黑体" w:cs="黑体"/>
          <w:b w:val="0"/>
          <w:bCs w:val="0"/>
          <w:color w:val="auto"/>
          <w:kern w:val="0"/>
          <w:sz w:val="40"/>
          <w:szCs w:val="40"/>
          <w:highlight w:val="none"/>
          <w:lang w:val="en-US" w:eastAsia="zh-CN"/>
        </w:rPr>
        <w:t>一览表</w:t>
      </w:r>
    </w:p>
    <w:tbl>
      <w:tblPr>
        <w:tblStyle w:val="18"/>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544EA0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3DD21AF6">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35957001">
            <w:pPr>
              <w:spacing w:line="420" w:lineRule="exact"/>
              <w:jc w:val="both"/>
              <w:rPr>
                <w:rFonts w:hint="eastAsia" w:ascii="仿宋" w:hAnsi="仿宋" w:eastAsia="仿宋" w:cs="仿宋"/>
                <w:color w:val="auto"/>
                <w:sz w:val="28"/>
                <w:szCs w:val="28"/>
                <w:highlight w:val="none"/>
              </w:rPr>
            </w:pPr>
          </w:p>
        </w:tc>
      </w:tr>
      <w:tr w14:paraId="3DFBFE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0C8B03BA">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706C9544">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14:paraId="7D15A5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59F9B7DD">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0DFB1932">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14:paraId="6242F46A">
            <w:pPr>
              <w:adjustRightInd w:val="0"/>
              <w:snapToGrid w:val="0"/>
              <w:spacing w:line="380" w:lineRule="exact"/>
              <w:jc w:val="both"/>
              <w:rPr>
                <w:rFonts w:hint="eastAsia" w:ascii="仿宋" w:hAnsi="仿宋" w:eastAsia="仿宋" w:cs="仿宋"/>
                <w:color w:val="auto"/>
                <w:sz w:val="28"/>
                <w:szCs w:val="28"/>
                <w:highlight w:val="none"/>
                <w:lang w:val="en-US" w:eastAsia="zh-CN"/>
              </w:rPr>
            </w:pPr>
          </w:p>
          <w:p w14:paraId="316A8AC0">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14:paraId="4AB9E1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7DED9D9C">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092E70EE">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14:paraId="62351C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64DBADA">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14:paraId="0D15C101">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09DEDA1A">
            <w:pPr>
              <w:spacing w:line="420" w:lineRule="exact"/>
              <w:ind w:firstLine="280" w:firstLineChars="100"/>
              <w:rPr>
                <w:rFonts w:hint="eastAsia" w:ascii="仿宋" w:hAnsi="仿宋" w:eastAsia="仿宋" w:cs="仿宋"/>
                <w:color w:val="auto"/>
                <w:sz w:val="28"/>
                <w:szCs w:val="28"/>
                <w:highlight w:val="none"/>
              </w:rPr>
            </w:pPr>
          </w:p>
        </w:tc>
      </w:tr>
      <w:tr w14:paraId="2687C2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32617486">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26656C1D">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8"/>
                <w:szCs w:val="28"/>
                <w:highlight w:val="none"/>
                <w:lang w:val="en-US" w:eastAsia="zh-CN"/>
              </w:rPr>
              <w:t>本项目最高投标限价为</w:t>
            </w:r>
            <w:r>
              <w:rPr>
                <w:rFonts w:hint="eastAsia" w:ascii="仿宋" w:hAnsi="仿宋" w:eastAsia="仿宋" w:cs="仿宋"/>
                <w:color w:val="auto"/>
                <w:kern w:val="0"/>
                <w:sz w:val="24"/>
                <w:szCs w:val="24"/>
                <w:highlight w:val="none"/>
                <w:u w:val="none"/>
                <w:lang w:val="en-US" w:eastAsia="zh-CN"/>
              </w:rPr>
              <w:t>735601.32</w:t>
            </w:r>
            <w:r>
              <w:rPr>
                <w:rFonts w:hint="eastAsia" w:ascii="仿宋" w:hAnsi="仿宋" w:eastAsia="仿宋" w:cs="仿宋"/>
                <w:color w:val="auto"/>
                <w:sz w:val="28"/>
                <w:szCs w:val="28"/>
                <w:highlight w:val="none"/>
                <w:lang w:val="en-US" w:eastAsia="zh-CN"/>
              </w:rPr>
              <w:t>元，投标报价不得高于最高投标限价。</w:t>
            </w:r>
          </w:p>
        </w:tc>
      </w:tr>
    </w:tbl>
    <w:p w14:paraId="46543E28">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14:paraId="6B725E89">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25A71979">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189CAF55">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5AD93A8C">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3A7A93FC">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10B1DB01">
      <w:pPr>
        <w:keepNext w:val="0"/>
        <w:keepLines w:val="0"/>
        <w:pageBreakBefore w:val="0"/>
        <w:kinsoku/>
        <w:wordWrap/>
        <w:overflowPunct/>
        <w:topLinePunct w:val="0"/>
        <w:autoSpaceDE/>
        <w:autoSpaceDN/>
        <w:bidi w:val="0"/>
        <w:spacing w:line="480" w:lineRule="exact"/>
        <w:ind w:firstLine="4760" w:firstLineChars="1700"/>
        <w:rPr>
          <w:rFonts w:hint="eastAsia"/>
          <w:color w:val="auto"/>
          <w:highlight w:val="none"/>
        </w:rPr>
      </w:pPr>
      <w:r>
        <w:rPr>
          <w:rFonts w:hint="eastAsia" w:ascii="仿宋" w:hAnsi="仿宋" w:eastAsia="仿宋"/>
          <w:color w:val="auto"/>
          <w:kern w:val="0"/>
          <w:sz w:val="28"/>
          <w:szCs w:val="28"/>
          <w:highlight w:val="none"/>
        </w:rPr>
        <w:t>日期：   年   月   日</w:t>
      </w:r>
    </w:p>
    <w:p w14:paraId="2013DFBF">
      <w:pPr>
        <w:spacing w:line="600" w:lineRule="auto"/>
        <w:jc w:val="left"/>
        <w:rPr>
          <w:rFonts w:hint="eastAsia"/>
          <w:color w:val="auto"/>
          <w:highlight w:val="none"/>
        </w:rPr>
      </w:pPr>
    </w:p>
    <w:p w14:paraId="68537F1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方正小标宋简体" w:cs="Times New Roman"/>
          <w:b w:val="0"/>
          <w:bCs/>
          <w:kern w:val="44"/>
          <w:sz w:val="44"/>
          <w:szCs w:val="44"/>
          <w:highlight w:val="none"/>
          <w:lang w:val="en-US" w:eastAsia="zh-CN" w:bidi="ar-SA"/>
        </w:rPr>
        <w:t>第四章  评标办法（综合评分法）</w:t>
      </w:r>
    </w:p>
    <w:tbl>
      <w:tblPr>
        <w:tblStyle w:val="18"/>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3CAA06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6BA3DA23">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6A647034">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38CCAEE9">
            <w:pPr>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评审标准</w:t>
            </w:r>
          </w:p>
        </w:tc>
      </w:tr>
      <w:tr w14:paraId="7DA572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54" w:hRule="atLeast"/>
          <w:jc w:val="center"/>
        </w:trPr>
        <w:tc>
          <w:tcPr>
            <w:tcW w:w="1096" w:type="dxa"/>
            <w:tcBorders>
              <w:top w:val="single" w:color="auto" w:sz="4" w:space="0"/>
              <w:left w:val="single" w:color="auto" w:sz="4" w:space="0"/>
              <w:right w:val="single" w:color="auto" w:sz="4" w:space="0"/>
            </w:tcBorders>
            <w:vAlign w:val="center"/>
          </w:tcPr>
          <w:p w14:paraId="0E7F9DDA">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w:t>
            </w:r>
          </w:p>
        </w:tc>
        <w:tc>
          <w:tcPr>
            <w:tcW w:w="1154" w:type="dxa"/>
            <w:tcBorders>
              <w:top w:val="single" w:color="auto" w:sz="4" w:space="0"/>
              <w:left w:val="single" w:color="auto" w:sz="4" w:space="0"/>
              <w:right w:val="single" w:color="auto" w:sz="4" w:space="0"/>
            </w:tcBorders>
            <w:vAlign w:val="center"/>
          </w:tcPr>
          <w:p w14:paraId="74C48D22">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600FF0FE">
            <w:pPr>
              <w:widowControl/>
              <w:spacing w:line="360" w:lineRule="exact"/>
              <w:jc w:val="center"/>
              <w:rPr>
                <w:rFonts w:hint="eastAsia" w:ascii="仿宋" w:hAnsi="仿宋" w:eastAsia="仿宋" w:cs="仿宋"/>
                <w:kern w:val="0"/>
                <w:szCs w:val="21"/>
                <w:highlight w:val="none"/>
              </w:rPr>
            </w:pPr>
          </w:p>
          <w:p w14:paraId="63E2E361">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rPr>
              <w:t>中</w:t>
            </w:r>
            <w:r>
              <w:rPr>
                <w:rFonts w:hint="eastAsia" w:ascii="仿宋" w:hAnsi="仿宋" w:eastAsia="仿宋" w:cs="仿宋"/>
                <w:kern w:val="0"/>
                <w:szCs w:val="21"/>
                <w:highlight w:val="none"/>
                <w:lang w:val="en-US" w:eastAsia="zh-CN"/>
              </w:rPr>
              <w:t>选</w:t>
            </w:r>
            <w:r>
              <w:rPr>
                <w:rFonts w:hint="eastAsia" w:ascii="仿宋" w:hAnsi="仿宋" w:eastAsia="仿宋" w:cs="仿宋"/>
                <w:kern w:val="0"/>
                <w:szCs w:val="21"/>
                <w:highlight w:val="none"/>
              </w:rPr>
              <w:t>候选人</w:t>
            </w:r>
            <w:r>
              <w:rPr>
                <w:rFonts w:hint="eastAsia" w:ascii="仿宋" w:hAnsi="仿宋" w:eastAsia="仿宋" w:cs="仿宋"/>
                <w:kern w:val="0"/>
                <w:szCs w:val="21"/>
                <w:highlight w:val="none"/>
                <w:lang w:val="en-US" w:eastAsia="zh-CN"/>
              </w:rPr>
              <w:t>排序</w:t>
            </w:r>
          </w:p>
          <w:p w14:paraId="4DD9D972">
            <w:pPr>
              <w:widowControl/>
              <w:spacing w:line="360" w:lineRule="exact"/>
              <w:jc w:val="center"/>
              <w:rPr>
                <w:rFonts w:hint="eastAsia" w:ascii="仿宋" w:hAnsi="仿宋" w:eastAsia="仿宋" w:cs="仿宋"/>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14:paraId="3079F280">
            <w:pPr>
              <w:widowControl/>
              <w:spacing w:line="360" w:lineRule="exact"/>
              <w:ind w:firstLine="420" w:firstLineChars="200"/>
              <w:rPr>
                <w:rFonts w:hint="eastAsia" w:ascii="仿宋" w:hAnsi="仿宋" w:eastAsia="仿宋" w:cs="仿宋"/>
                <w:kern w:val="0"/>
                <w:szCs w:val="21"/>
                <w:highlight w:val="none"/>
                <w:u w:val="single"/>
              </w:rPr>
            </w:pPr>
            <w:r>
              <w:rPr>
                <w:rFonts w:hint="eastAsia" w:ascii="仿宋" w:hAnsi="仿宋" w:eastAsia="仿宋" w:cs="仿宋"/>
                <w:kern w:val="0"/>
                <w:szCs w:val="21"/>
                <w:highlight w:val="none"/>
                <w:lang w:eastAsia="zh-CN"/>
              </w:rPr>
              <w:t>按照</w:t>
            </w:r>
            <w:r>
              <w:rPr>
                <w:rFonts w:hint="eastAsia" w:ascii="仿宋" w:hAnsi="仿宋" w:eastAsia="仿宋" w:cs="仿宋"/>
                <w:kern w:val="0"/>
                <w:szCs w:val="21"/>
                <w:highlight w:val="none"/>
              </w:rPr>
              <w:t>评标总得分由高到低的顺序推荐中选候选单位。参选单位评标总得分相同时，按照其投标报价由低至高排序。投标报价也相同时，依次按商务</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rPr>
              <w:t>技术得分由高到低确定排序。以上都相同时，按现场签到的先后时间顺序确定中选候选人排序。</w:t>
            </w:r>
          </w:p>
        </w:tc>
      </w:tr>
      <w:tr w14:paraId="68CE02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7" w:hRule="atLeast"/>
          <w:jc w:val="center"/>
        </w:trPr>
        <w:tc>
          <w:tcPr>
            <w:tcW w:w="1096" w:type="dxa"/>
            <w:vMerge w:val="restart"/>
            <w:tcBorders>
              <w:top w:val="single" w:color="auto" w:sz="4" w:space="0"/>
              <w:left w:val="single" w:color="auto" w:sz="4" w:space="0"/>
              <w:right w:val="single" w:color="auto" w:sz="4" w:space="0"/>
            </w:tcBorders>
            <w:vAlign w:val="center"/>
          </w:tcPr>
          <w:p w14:paraId="2355ED97">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2.1</w:t>
            </w:r>
          </w:p>
        </w:tc>
        <w:tc>
          <w:tcPr>
            <w:tcW w:w="1154" w:type="dxa"/>
            <w:vMerge w:val="restart"/>
            <w:tcBorders>
              <w:top w:val="single" w:color="auto" w:sz="4" w:space="0"/>
              <w:left w:val="nil"/>
              <w:right w:val="single" w:color="auto" w:sz="4" w:space="0"/>
            </w:tcBorders>
            <w:vAlign w:val="center"/>
          </w:tcPr>
          <w:p w14:paraId="52630B27">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符合性</w:t>
            </w:r>
            <w:r>
              <w:rPr>
                <w:rFonts w:hint="eastAsia" w:ascii="仿宋" w:hAnsi="仿宋" w:eastAsia="仿宋" w:cs="仿宋"/>
                <w:kern w:val="0"/>
                <w:szCs w:val="21"/>
                <w:highlight w:val="none"/>
              </w:rPr>
              <w:t>评</w:t>
            </w:r>
          </w:p>
          <w:p w14:paraId="795601EB">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720851F4">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人名称</w:t>
            </w:r>
          </w:p>
        </w:tc>
        <w:tc>
          <w:tcPr>
            <w:tcW w:w="5200" w:type="dxa"/>
            <w:tcBorders>
              <w:top w:val="single" w:color="auto" w:sz="4" w:space="0"/>
              <w:left w:val="single" w:color="auto" w:sz="4" w:space="0"/>
              <w:bottom w:val="single" w:color="auto" w:sz="4" w:space="0"/>
              <w:right w:val="single" w:color="auto" w:sz="4" w:space="0"/>
            </w:tcBorders>
            <w:vAlign w:val="center"/>
          </w:tcPr>
          <w:p w14:paraId="27A42683">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与营业执照、资质证书等相关文件一致。</w:t>
            </w:r>
          </w:p>
        </w:tc>
      </w:tr>
      <w:tr w14:paraId="7B20CF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6A5406FF">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6FF5696F">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2B8DC777">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6269941E">
            <w:pPr>
              <w:widowControl/>
              <w:spacing w:line="360" w:lineRule="exact"/>
              <w:ind w:firstLine="420" w:firstLineChars="200"/>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按第三章“参选文件要求”中的规定签字盖章</w:t>
            </w:r>
          </w:p>
        </w:tc>
      </w:tr>
      <w:tr w14:paraId="3B42E9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188EF757">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4729846A">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0F012C77">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4297FA06">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szCs w:val="21"/>
                <w:highlight w:val="none"/>
                <w:lang w:val="en-US" w:eastAsia="zh-CN"/>
              </w:rPr>
              <w:t>按</w:t>
            </w:r>
            <w:r>
              <w:rPr>
                <w:rFonts w:hint="eastAsia" w:ascii="仿宋" w:hAnsi="仿宋" w:eastAsia="仿宋" w:cs="仿宋"/>
                <w:kern w:val="0"/>
                <w:szCs w:val="21"/>
                <w:highlight w:val="none"/>
                <w:lang w:eastAsia="zh-CN"/>
              </w:rPr>
              <w:t>“</w:t>
            </w:r>
            <w:r>
              <w:rPr>
                <w:rFonts w:hint="eastAsia" w:ascii="仿宋" w:hAnsi="仿宋" w:eastAsia="仿宋" w:cs="仿宋"/>
                <w:szCs w:val="21"/>
                <w:highlight w:val="none"/>
                <w:lang w:val="en-US" w:eastAsia="zh-CN"/>
              </w:rPr>
              <w:t>附件7”要求</w:t>
            </w:r>
            <w:r>
              <w:rPr>
                <w:rFonts w:hint="eastAsia" w:ascii="仿宋" w:hAnsi="仿宋" w:eastAsia="仿宋" w:cs="仿宋"/>
                <w:kern w:val="0"/>
                <w:szCs w:val="21"/>
                <w:highlight w:val="none"/>
                <w:lang w:val="en-US" w:eastAsia="zh-CN"/>
              </w:rPr>
              <w:t>投标报价</w:t>
            </w:r>
          </w:p>
        </w:tc>
      </w:tr>
      <w:tr w14:paraId="62875D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4CA5AC27">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52AFC741">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6EDDC523">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内容及</w:t>
            </w:r>
            <w:r>
              <w:rPr>
                <w:rFonts w:hint="eastAsia" w:ascii="仿宋" w:hAnsi="仿宋" w:eastAsia="仿宋" w:cs="仿宋"/>
                <w:kern w:val="0"/>
                <w:szCs w:val="21"/>
                <w:highlight w:val="none"/>
              </w:rPr>
              <w:t>格式</w:t>
            </w:r>
          </w:p>
        </w:tc>
        <w:tc>
          <w:tcPr>
            <w:tcW w:w="5200" w:type="dxa"/>
            <w:tcBorders>
              <w:top w:val="single" w:color="auto" w:sz="4" w:space="0"/>
              <w:left w:val="single" w:color="auto" w:sz="4" w:space="0"/>
              <w:bottom w:val="single" w:color="auto" w:sz="4" w:space="0"/>
              <w:right w:val="single" w:color="auto" w:sz="4" w:space="0"/>
            </w:tcBorders>
            <w:vAlign w:val="center"/>
          </w:tcPr>
          <w:p w14:paraId="28A9210B">
            <w:pPr>
              <w:widowControl/>
              <w:spacing w:line="360" w:lineRule="exact"/>
              <w:ind w:firstLine="420" w:firstLineChars="200"/>
              <w:jc w:val="left"/>
              <w:rPr>
                <w:rFonts w:hint="default" w:ascii="仿宋" w:hAnsi="仿宋" w:eastAsia="仿宋" w:cs="仿宋"/>
                <w:kern w:val="0"/>
                <w:szCs w:val="21"/>
                <w:highlight w:val="none"/>
                <w:lang w:val="en-US"/>
              </w:rPr>
            </w:pPr>
            <w:r>
              <w:rPr>
                <w:rFonts w:hint="eastAsia" w:ascii="仿宋" w:hAnsi="仿宋" w:eastAsia="仿宋" w:cs="仿宋"/>
                <w:kern w:val="0"/>
                <w:szCs w:val="21"/>
                <w:highlight w:val="none"/>
                <w:lang w:val="en-US" w:eastAsia="zh-CN"/>
              </w:rPr>
              <w:t>按“附件1至附件7”内容及格式提供相应文件</w:t>
            </w:r>
          </w:p>
        </w:tc>
      </w:tr>
      <w:tr w14:paraId="5F2920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56" w:hRule="atLeast"/>
          <w:jc w:val="center"/>
        </w:trPr>
        <w:tc>
          <w:tcPr>
            <w:tcW w:w="1096" w:type="dxa"/>
            <w:vMerge w:val="continue"/>
            <w:tcBorders>
              <w:left w:val="single" w:color="auto" w:sz="4" w:space="0"/>
              <w:right w:val="single" w:color="auto" w:sz="4" w:space="0"/>
            </w:tcBorders>
            <w:vAlign w:val="center"/>
          </w:tcPr>
          <w:p w14:paraId="5E96E807">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1A4FA3A0">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406692B6">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文件</w:t>
            </w:r>
            <w:r>
              <w:rPr>
                <w:rFonts w:hint="eastAsia" w:ascii="仿宋" w:hAnsi="仿宋" w:eastAsia="仿宋" w:cs="仿宋"/>
                <w:kern w:val="0"/>
                <w:szCs w:val="21"/>
                <w:highlight w:val="none"/>
                <w:lang w:val="en-US" w:eastAsia="zh-CN"/>
              </w:rPr>
              <w:t>份数</w:t>
            </w:r>
          </w:p>
        </w:tc>
        <w:tc>
          <w:tcPr>
            <w:tcW w:w="5200" w:type="dxa"/>
            <w:tcBorders>
              <w:top w:val="single" w:color="auto" w:sz="4" w:space="0"/>
              <w:left w:val="single" w:color="auto" w:sz="4" w:space="0"/>
              <w:bottom w:val="single" w:color="auto" w:sz="4" w:space="0"/>
              <w:right w:val="single" w:color="auto" w:sz="4" w:space="0"/>
            </w:tcBorders>
            <w:vAlign w:val="center"/>
          </w:tcPr>
          <w:p w14:paraId="099CAD6E">
            <w:pPr>
              <w:widowControl/>
              <w:spacing w:line="360" w:lineRule="exact"/>
              <w:ind w:firstLine="420" w:firstLineChars="200"/>
              <w:jc w:val="left"/>
              <w:rPr>
                <w:rFonts w:hint="eastAsia" w:ascii="仿宋" w:hAnsi="仿宋" w:eastAsia="仿宋" w:cs="仿宋"/>
                <w:kern w:val="0"/>
                <w:szCs w:val="21"/>
                <w:highlight w:val="none"/>
              </w:rPr>
            </w:pPr>
            <w:r>
              <w:rPr>
                <w:rFonts w:hint="eastAsia" w:ascii="仿宋" w:hAnsi="仿宋" w:eastAsia="仿宋" w:cs="仿宋"/>
                <w:kern w:val="0"/>
                <w:szCs w:val="21"/>
                <w:highlight w:val="none"/>
                <w:lang w:val="en-US" w:eastAsia="zh-CN"/>
              </w:rPr>
              <w:t>正本1份，副本2份，电子文档1份 （电子文件内容为参选文件的扫描件，载体为U盘；副本为正本的复印件，并在封面加盖参选单位公章）。</w:t>
            </w:r>
          </w:p>
        </w:tc>
      </w:tr>
      <w:tr w14:paraId="0A95CF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73" w:hRule="atLeast"/>
          <w:jc w:val="center"/>
        </w:trPr>
        <w:tc>
          <w:tcPr>
            <w:tcW w:w="1096" w:type="dxa"/>
            <w:vMerge w:val="continue"/>
            <w:tcBorders>
              <w:left w:val="single" w:color="auto" w:sz="4" w:space="0"/>
              <w:right w:val="single" w:color="auto" w:sz="4" w:space="0"/>
            </w:tcBorders>
            <w:vAlign w:val="center"/>
          </w:tcPr>
          <w:p w14:paraId="0C166B4A">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297CAEC6">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51DDD368">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08546AF2">
            <w:pPr>
              <w:widowControl/>
              <w:spacing w:line="360" w:lineRule="exact"/>
              <w:ind w:firstLine="420" w:firstLineChars="200"/>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近三年内，在经营活动中无不良行为记录（包括行政处罚、经营异常、严重失信等均视为不良行为记录）。</w:t>
            </w:r>
          </w:p>
        </w:tc>
      </w:tr>
      <w:tr w14:paraId="375AA0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6" w:hRule="atLeast"/>
          <w:jc w:val="center"/>
        </w:trPr>
        <w:tc>
          <w:tcPr>
            <w:tcW w:w="1096" w:type="dxa"/>
            <w:vMerge w:val="continue"/>
            <w:tcBorders>
              <w:left w:val="single" w:color="auto" w:sz="4" w:space="0"/>
              <w:right w:val="single" w:color="auto" w:sz="4" w:space="0"/>
            </w:tcBorders>
            <w:vAlign w:val="center"/>
          </w:tcPr>
          <w:p w14:paraId="21077C2A">
            <w:pPr>
              <w:widowControl/>
              <w:jc w:val="left"/>
              <w:rPr>
                <w:rFonts w:hint="eastAsia" w:ascii="仿宋" w:hAnsi="仿宋" w:eastAsia="仿宋" w:cs="仿宋"/>
                <w:kern w:val="0"/>
                <w:szCs w:val="21"/>
                <w:highlight w:val="none"/>
              </w:rPr>
            </w:pPr>
          </w:p>
        </w:tc>
        <w:tc>
          <w:tcPr>
            <w:tcW w:w="1154" w:type="dxa"/>
            <w:vMerge w:val="continue"/>
            <w:tcBorders>
              <w:left w:val="nil"/>
              <w:right w:val="single" w:color="auto" w:sz="4" w:space="0"/>
            </w:tcBorders>
            <w:vAlign w:val="center"/>
          </w:tcPr>
          <w:p w14:paraId="64B0E537">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623489FC">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关联</w:t>
            </w:r>
            <w:r>
              <w:rPr>
                <w:rFonts w:hint="default" w:ascii="仿宋" w:hAnsi="仿宋" w:eastAsia="仿宋" w:cs="仿宋"/>
                <w:kern w:val="0"/>
                <w:szCs w:val="21"/>
                <w:highlight w:val="none"/>
                <w:lang w:val="en-US" w:eastAsia="zh-CN"/>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1C4F1EF2">
            <w:pPr>
              <w:widowControl/>
              <w:spacing w:line="360" w:lineRule="exact"/>
              <w:ind w:firstLine="420" w:firstLineChars="200"/>
              <w:jc w:val="left"/>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参选单位法定代表人或负责人为同一人或者存在控股、管理关系的不同参选人，不得同时参加本次比选。</w:t>
            </w:r>
          </w:p>
        </w:tc>
      </w:tr>
      <w:tr w14:paraId="5D7C76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14:paraId="07D0B81B">
            <w:pPr>
              <w:widowControl/>
              <w:jc w:val="left"/>
              <w:rPr>
                <w:rFonts w:hint="eastAsia" w:ascii="仿宋" w:hAnsi="仿宋" w:eastAsia="仿宋" w:cs="仿宋"/>
                <w:kern w:val="0"/>
                <w:szCs w:val="21"/>
                <w:highlight w:val="none"/>
              </w:rPr>
            </w:pPr>
          </w:p>
        </w:tc>
        <w:tc>
          <w:tcPr>
            <w:tcW w:w="1154" w:type="dxa"/>
            <w:vMerge w:val="continue"/>
            <w:tcBorders>
              <w:left w:val="nil"/>
              <w:bottom w:val="nil"/>
              <w:right w:val="single" w:color="auto" w:sz="4" w:space="0"/>
            </w:tcBorders>
            <w:vAlign w:val="center"/>
          </w:tcPr>
          <w:p w14:paraId="26FC270D">
            <w:pPr>
              <w:widowControl/>
              <w:spacing w:line="360" w:lineRule="exact"/>
              <w:ind w:firstLine="420" w:firstLineChars="200"/>
              <w:rPr>
                <w:rFonts w:hint="eastAsia"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DBC477E">
            <w:pPr>
              <w:widowControl/>
              <w:spacing w:line="360" w:lineRule="exact"/>
              <w:ind w:firstLine="422" w:firstLineChars="200"/>
              <w:rPr>
                <w:rFonts w:hint="eastAsia" w:ascii="仿宋" w:hAnsi="仿宋" w:eastAsia="仿宋" w:cs="仿宋"/>
                <w:kern w:val="0"/>
                <w:szCs w:val="21"/>
                <w:highlight w:val="none"/>
              </w:rPr>
            </w:pPr>
            <w:r>
              <w:rPr>
                <w:rFonts w:hint="eastAsia" w:ascii="仿宋" w:hAnsi="仿宋" w:eastAsia="仿宋" w:cs="仿宋"/>
                <w:b/>
                <w:kern w:val="0"/>
                <w:szCs w:val="21"/>
                <w:highlight w:val="none"/>
              </w:rPr>
              <w:t>以上评审有一条不通过，则视为</w:t>
            </w:r>
            <w:r>
              <w:rPr>
                <w:rFonts w:hint="eastAsia" w:ascii="仿宋" w:hAnsi="仿宋" w:eastAsia="仿宋" w:cs="仿宋"/>
                <w:b/>
                <w:kern w:val="0"/>
                <w:szCs w:val="21"/>
                <w:highlight w:val="none"/>
                <w:lang w:val="en-US" w:eastAsia="zh-CN"/>
              </w:rPr>
              <w:t>符合性</w:t>
            </w:r>
            <w:r>
              <w:rPr>
                <w:rFonts w:hint="eastAsia" w:ascii="仿宋" w:hAnsi="仿宋" w:eastAsia="仿宋" w:cs="仿宋"/>
                <w:b/>
                <w:kern w:val="0"/>
                <w:szCs w:val="21"/>
                <w:highlight w:val="none"/>
              </w:rPr>
              <w:t>评审标准不通过，不进入下一步评审，应当否决其</w:t>
            </w:r>
            <w:r>
              <w:rPr>
                <w:rFonts w:hint="eastAsia" w:ascii="仿宋" w:hAnsi="仿宋" w:eastAsia="仿宋" w:cs="仿宋"/>
                <w:b/>
                <w:kern w:val="0"/>
                <w:szCs w:val="21"/>
                <w:highlight w:val="none"/>
                <w:lang w:val="en-US" w:eastAsia="zh-CN"/>
              </w:rPr>
              <w:t>参选</w:t>
            </w:r>
            <w:r>
              <w:rPr>
                <w:rFonts w:hint="eastAsia" w:ascii="仿宋" w:hAnsi="仿宋" w:eastAsia="仿宋" w:cs="仿宋"/>
                <w:b/>
                <w:kern w:val="0"/>
                <w:szCs w:val="21"/>
                <w:highlight w:val="none"/>
              </w:rPr>
              <w:t>。</w:t>
            </w:r>
          </w:p>
        </w:tc>
      </w:tr>
      <w:tr w14:paraId="231A0E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1CEED2C0">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2.2</w:t>
            </w:r>
          </w:p>
        </w:tc>
        <w:tc>
          <w:tcPr>
            <w:tcW w:w="1154" w:type="dxa"/>
            <w:vMerge w:val="restart"/>
            <w:tcBorders>
              <w:top w:val="single" w:color="auto" w:sz="4" w:space="0"/>
              <w:left w:val="single" w:color="auto" w:sz="4" w:space="0"/>
              <w:right w:val="single" w:color="auto" w:sz="4" w:space="0"/>
            </w:tcBorders>
            <w:vAlign w:val="center"/>
          </w:tcPr>
          <w:p w14:paraId="2317A994">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资格评</w:t>
            </w:r>
          </w:p>
          <w:p w14:paraId="7121D3F7">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02CBA258">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6E2B49A4">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2397A6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AE21AA1">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70D739F8">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4A75BAD9">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366A39BE">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4EF098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4E12986">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0EF8BD79">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21E11D8C">
            <w:pPr>
              <w:widowControl/>
              <w:spacing w:line="360" w:lineRule="exact"/>
              <w:jc w:val="center"/>
              <w:rPr>
                <w:rFonts w:hint="eastAsia" w:ascii="仿宋" w:hAnsi="仿宋" w:eastAsia="仿宋" w:cs="仿宋"/>
                <w:kern w:val="0"/>
                <w:szCs w:val="21"/>
                <w:highlight w:val="none"/>
              </w:rPr>
            </w:pPr>
            <w:r>
              <w:rPr>
                <w:rFonts w:hint="eastAsia" w:ascii="仿宋" w:hAnsi="仿宋" w:eastAsia="仿宋" w:cs="仿宋"/>
                <w:szCs w:val="21"/>
                <w:highlight w:val="none"/>
              </w:rPr>
              <w:t>类似</w:t>
            </w:r>
            <w:r>
              <w:rPr>
                <w:rFonts w:hint="eastAsia" w:ascii="仿宋" w:hAnsi="仿宋" w:eastAsia="仿宋" w:cs="仿宋"/>
                <w:szCs w:val="21"/>
                <w:highlight w:val="none"/>
                <w:lang w:val="en-US" w:eastAsia="zh-CN"/>
              </w:rPr>
              <w:t>项目</w:t>
            </w:r>
            <w:r>
              <w:rPr>
                <w:rFonts w:hint="eastAsia" w:ascii="仿宋" w:hAnsi="仿宋" w:eastAsia="仿宋" w:cs="仿宋"/>
                <w:kern w:val="0"/>
                <w:szCs w:val="21"/>
                <w:highlight w:val="none"/>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714EC9AC">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1DF092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396E74B">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4EF90D00">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59F50AB1">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067FA3C8">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35370D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0B80F46A">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68D59327">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006BB3DE">
            <w:pPr>
              <w:widowControl/>
              <w:spacing w:line="360" w:lineRule="exact"/>
              <w:jc w:val="center"/>
              <w:rPr>
                <w:rFonts w:hint="eastAsia"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6D1B82EA">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04D6D0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F1B1ACD">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0AEAE32E">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2FEBC213">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0D74C2C9">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5C7837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7E1C9A12">
            <w:pPr>
              <w:widowControl/>
              <w:jc w:val="left"/>
              <w:rPr>
                <w:rFonts w:hint="eastAsia" w:ascii="仿宋" w:hAnsi="仿宋" w:eastAsia="仿宋" w:cs="仿宋"/>
                <w:kern w:val="0"/>
                <w:szCs w:val="21"/>
                <w:highlight w:val="none"/>
              </w:rPr>
            </w:pPr>
          </w:p>
        </w:tc>
        <w:tc>
          <w:tcPr>
            <w:tcW w:w="1154" w:type="dxa"/>
            <w:vMerge w:val="continue"/>
            <w:tcBorders>
              <w:left w:val="single" w:color="auto" w:sz="4" w:space="0"/>
              <w:right w:val="single" w:color="auto" w:sz="4" w:space="0"/>
            </w:tcBorders>
            <w:vAlign w:val="center"/>
          </w:tcPr>
          <w:p w14:paraId="0F364BAC">
            <w:pPr>
              <w:widowControl/>
              <w:jc w:val="left"/>
              <w:rPr>
                <w:rFonts w:hint="eastAsia" w:ascii="仿宋" w:hAnsi="仿宋" w:eastAsia="仿宋" w:cs="仿宋"/>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14:paraId="230FB9C7">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4BCB8527">
            <w:pPr>
              <w:widowControl/>
              <w:spacing w:line="360" w:lineRule="exact"/>
              <w:ind w:firstLine="420" w:firstLineChars="200"/>
              <w:jc w:val="both"/>
              <w:rPr>
                <w:rFonts w:hint="eastAsia" w:ascii="仿宋" w:hAnsi="仿宋" w:eastAsia="仿宋" w:cs="仿宋"/>
                <w:kern w:val="0"/>
                <w:szCs w:val="21"/>
                <w:highlight w:val="none"/>
              </w:rPr>
            </w:pPr>
            <w:r>
              <w:rPr>
                <w:rFonts w:hint="eastAsia" w:ascii="仿宋" w:hAnsi="仿宋" w:eastAsia="仿宋" w:cs="仿宋"/>
                <w:kern w:val="0"/>
                <w:szCs w:val="21"/>
                <w:highlight w:val="none"/>
              </w:rPr>
              <w:t>符合第二章“</w:t>
            </w:r>
            <w:r>
              <w:rPr>
                <w:rFonts w:hint="eastAsia" w:ascii="仿宋" w:hAnsi="仿宋" w:eastAsia="仿宋" w:cs="仿宋"/>
                <w:kern w:val="0"/>
                <w:szCs w:val="21"/>
                <w:highlight w:val="none"/>
                <w:lang w:val="en-US" w:eastAsia="zh-CN"/>
              </w:rPr>
              <w:t>参选</w:t>
            </w:r>
            <w:r>
              <w:rPr>
                <w:rFonts w:hint="eastAsia" w:ascii="仿宋" w:hAnsi="仿宋" w:eastAsia="仿宋" w:cs="仿宋"/>
                <w:kern w:val="0"/>
                <w:szCs w:val="21"/>
                <w:highlight w:val="none"/>
              </w:rPr>
              <w:t>人须知</w:t>
            </w:r>
            <w:r>
              <w:rPr>
                <w:rFonts w:hint="eastAsia" w:ascii="仿宋" w:hAnsi="仿宋" w:eastAsia="仿宋" w:cs="仿宋"/>
                <w:kern w:val="0"/>
                <w:szCs w:val="21"/>
                <w:highlight w:val="none"/>
                <w:lang w:val="en-US" w:eastAsia="zh-CN"/>
              </w:rPr>
              <w:t>前附表</w:t>
            </w:r>
            <w:r>
              <w:rPr>
                <w:rFonts w:hint="eastAsia" w:ascii="仿宋" w:hAnsi="仿宋" w:eastAsia="仿宋" w:cs="仿宋"/>
                <w:kern w:val="0"/>
                <w:szCs w:val="21"/>
                <w:highlight w:val="none"/>
              </w:rPr>
              <w:t>”第</w:t>
            </w:r>
            <w:r>
              <w:rPr>
                <w:rFonts w:hint="eastAsia" w:ascii="仿宋" w:hAnsi="仿宋" w:eastAsia="仿宋" w:cs="仿宋"/>
                <w:kern w:val="0"/>
                <w:szCs w:val="21"/>
                <w:highlight w:val="none"/>
                <w:lang w:val="en-US" w:eastAsia="zh-CN"/>
              </w:rPr>
              <w:t>7项</w:t>
            </w:r>
            <w:r>
              <w:rPr>
                <w:rFonts w:hint="eastAsia" w:ascii="仿宋" w:hAnsi="仿宋" w:eastAsia="仿宋" w:cs="仿宋"/>
                <w:kern w:val="0"/>
                <w:szCs w:val="21"/>
                <w:highlight w:val="none"/>
              </w:rPr>
              <w:t>规定</w:t>
            </w:r>
          </w:p>
        </w:tc>
      </w:tr>
      <w:tr w14:paraId="0B5FF7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2BFDEBC5">
            <w:pPr>
              <w:widowControl/>
              <w:jc w:val="left"/>
              <w:rPr>
                <w:rFonts w:hint="eastAsia" w:ascii="仿宋" w:hAnsi="仿宋" w:eastAsia="仿宋" w:cs="仿宋"/>
                <w:kern w:val="0"/>
                <w:szCs w:val="21"/>
                <w:highlight w:val="none"/>
              </w:rPr>
            </w:pPr>
          </w:p>
        </w:tc>
        <w:tc>
          <w:tcPr>
            <w:tcW w:w="1154" w:type="dxa"/>
            <w:vMerge w:val="continue"/>
            <w:tcBorders>
              <w:left w:val="single" w:color="auto" w:sz="4" w:space="0"/>
              <w:bottom w:val="single" w:color="auto" w:sz="4" w:space="0"/>
              <w:right w:val="single" w:color="auto" w:sz="4" w:space="0"/>
            </w:tcBorders>
            <w:vAlign w:val="center"/>
          </w:tcPr>
          <w:p w14:paraId="300CB58F">
            <w:pPr>
              <w:widowControl/>
              <w:jc w:val="left"/>
              <w:rPr>
                <w:rFonts w:hint="eastAsia" w:ascii="仿宋" w:hAnsi="仿宋" w:eastAsia="仿宋" w:cs="仿宋"/>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1F3FD6DB">
            <w:pPr>
              <w:widowControl/>
              <w:spacing w:line="360" w:lineRule="exact"/>
              <w:ind w:firstLine="422" w:firstLineChars="200"/>
              <w:rPr>
                <w:rFonts w:hint="eastAsia" w:ascii="仿宋" w:hAnsi="仿宋" w:eastAsia="仿宋" w:cs="仿宋"/>
                <w:kern w:val="0"/>
                <w:szCs w:val="21"/>
                <w:highlight w:val="none"/>
                <w:lang w:eastAsia="zh-CN"/>
              </w:rPr>
            </w:pPr>
            <w:r>
              <w:rPr>
                <w:rFonts w:hint="eastAsia" w:ascii="仿宋" w:hAnsi="仿宋" w:eastAsia="仿宋" w:cs="仿宋"/>
                <w:b/>
                <w:kern w:val="0"/>
                <w:szCs w:val="21"/>
                <w:highlight w:val="none"/>
              </w:rPr>
              <w:t>以上评审有一条不通过，则视为资格评审标准不通过，不进入下一步评审，应当否决其</w:t>
            </w:r>
            <w:r>
              <w:rPr>
                <w:rFonts w:hint="eastAsia" w:ascii="仿宋" w:hAnsi="仿宋" w:eastAsia="仿宋" w:cs="仿宋"/>
                <w:b/>
                <w:kern w:val="0"/>
                <w:szCs w:val="21"/>
                <w:highlight w:val="none"/>
                <w:lang w:val="en-US" w:eastAsia="zh-CN"/>
              </w:rPr>
              <w:t>参选</w:t>
            </w:r>
            <w:r>
              <w:rPr>
                <w:rFonts w:hint="eastAsia" w:ascii="仿宋" w:hAnsi="仿宋" w:eastAsia="仿宋" w:cs="仿宋"/>
                <w:b/>
                <w:kern w:val="0"/>
                <w:szCs w:val="21"/>
                <w:highlight w:val="none"/>
                <w:lang w:eastAsia="zh-CN"/>
              </w:rPr>
              <w:t>。</w:t>
            </w:r>
          </w:p>
        </w:tc>
      </w:tr>
      <w:tr w14:paraId="23B7CA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59"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131C897A">
            <w:pPr>
              <w:widowControl/>
              <w:spacing w:line="360" w:lineRule="exact"/>
              <w:jc w:val="center"/>
              <w:rPr>
                <w:rFonts w:hint="default" w:ascii="仿宋" w:hAnsi="仿宋" w:eastAsia="仿宋" w:cs="仿宋"/>
                <w:kern w:val="0"/>
                <w:szCs w:val="21"/>
                <w:highlight w:val="none"/>
                <w:lang w:val="en-US" w:eastAsia="zh-CN"/>
              </w:rPr>
            </w:pPr>
            <w:r>
              <w:rPr>
                <w:rFonts w:ascii="仿宋" w:hAnsi="仿宋" w:eastAsia="仿宋" w:cs="仿宋"/>
                <w:kern w:val="0"/>
                <w:szCs w:val="21"/>
                <w:highlight w:val="none"/>
              </w:rPr>
              <w:t>详细评审</w:t>
            </w:r>
          </w:p>
        </w:tc>
        <w:tc>
          <w:tcPr>
            <w:tcW w:w="1154" w:type="dxa"/>
            <w:tcBorders>
              <w:top w:val="single" w:color="auto" w:sz="4" w:space="0"/>
              <w:left w:val="single" w:color="auto" w:sz="4" w:space="0"/>
              <w:bottom w:val="single" w:color="auto" w:sz="4" w:space="0"/>
              <w:right w:val="single" w:color="auto" w:sz="4" w:space="0"/>
            </w:tcBorders>
            <w:vAlign w:val="center"/>
          </w:tcPr>
          <w:p w14:paraId="6A5B8211">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lang w:val="en-US" w:eastAsia="zh-CN"/>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735AF316">
            <w:pPr>
              <w:widowControl/>
              <w:spacing w:line="360" w:lineRule="exact"/>
              <w:jc w:val="center"/>
              <w:rPr>
                <w:rFonts w:hint="default" w:ascii="仿宋" w:hAnsi="仿宋" w:eastAsia="仿宋" w:cs="仿宋"/>
                <w:kern w:val="0"/>
                <w:szCs w:val="21"/>
                <w:highlight w:val="none"/>
                <w:lang w:val="en-US" w:eastAsia="zh-CN"/>
              </w:rPr>
            </w:pPr>
            <w:r>
              <w:rPr>
                <w:rFonts w:hint="eastAsia" w:ascii="仿宋" w:hAnsi="仿宋" w:eastAsia="仿宋" w:cs="仿宋"/>
                <w:kern w:val="0"/>
                <w:szCs w:val="21"/>
                <w:highlight w:val="none"/>
              </w:rPr>
              <w:t>综合评分表</w:t>
            </w:r>
          </w:p>
        </w:tc>
        <w:tc>
          <w:tcPr>
            <w:tcW w:w="5200" w:type="dxa"/>
            <w:tcBorders>
              <w:top w:val="single" w:color="auto" w:sz="4" w:space="0"/>
              <w:left w:val="single" w:color="auto" w:sz="4" w:space="0"/>
              <w:bottom w:val="single" w:color="auto" w:sz="4" w:space="0"/>
              <w:right w:val="single" w:color="auto" w:sz="4" w:space="0"/>
            </w:tcBorders>
            <w:vAlign w:val="center"/>
          </w:tcPr>
          <w:p w14:paraId="237E0E52">
            <w:pPr>
              <w:widowControl/>
              <w:spacing w:line="360" w:lineRule="exact"/>
              <w:ind w:firstLine="420" w:firstLineChars="200"/>
              <w:rPr>
                <w:rFonts w:hint="eastAsia" w:ascii="仿宋" w:hAnsi="仿宋" w:eastAsia="仿宋" w:cs="仿宋"/>
                <w:kern w:val="0"/>
                <w:szCs w:val="21"/>
                <w:highlight w:val="none"/>
              </w:rPr>
            </w:pPr>
            <w:r>
              <w:rPr>
                <w:rFonts w:hint="eastAsia" w:ascii="仿宋" w:hAnsi="仿宋" w:eastAsia="仿宋" w:cs="仿宋"/>
                <w:kern w:val="0"/>
                <w:szCs w:val="21"/>
                <w:highlight w:val="none"/>
              </w:rPr>
              <w:t>对资格、符合性评审符合要求的参选单位进行详细评审，评标委员会按照综合评分表规定</w:t>
            </w:r>
            <w:r>
              <w:rPr>
                <w:rFonts w:hint="eastAsia" w:ascii="仿宋" w:hAnsi="仿宋" w:eastAsia="仿宋" w:cs="仿宋"/>
                <w:kern w:val="0"/>
                <w:szCs w:val="21"/>
                <w:highlight w:val="none"/>
                <w:lang w:eastAsia="zh-CN"/>
              </w:rPr>
              <w:t>的</w:t>
            </w:r>
            <w:r>
              <w:rPr>
                <w:rFonts w:hint="eastAsia" w:ascii="仿宋" w:hAnsi="仿宋" w:eastAsia="仿宋" w:cs="仿宋"/>
                <w:kern w:val="0"/>
                <w:szCs w:val="21"/>
                <w:highlight w:val="none"/>
              </w:rPr>
              <w:t>评审因素和标准进行评审计分（详见附表：综合评分表），并计算出参选单位评标总得分。</w:t>
            </w:r>
          </w:p>
        </w:tc>
      </w:tr>
    </w:tbl>
    <w:p w14:paraId="30285EB1">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highlight w:val="none"/>
          <w:lang w:val="en-US" w:eastAsia="zh-CN" w:bidi="ar-SA"/>
        </w:rPr>
      </w:pPr>
    </w:p>
    <w:p w14:paraId="7DD26DE9">
      <w:pPr>
        <w:pStyle w:val="24"/>
        <w:rPr>
          <w:rFonts w:hint="default"/>
          <w:color w:val="auto"/>
          <w:highlight w:val="none"/>
          <w:lang w:val="en-US" w:eastAsia="zh-CN"/>
        </w:rPr>
        <w:sectPr>
          <w:footerReference r:id="rId13" w:type="default"/>
          <w:pgSz w:w="11906" w:h="16838"/>
          <w:pgMar w:top="1440" w:right="1800" w:bottom="1440" w:left="1800" w:header="851" w:footer="992" w:gutter="0"/>
          <w:pgNumType w:fmt="decimal"/>
          <w:cols w:space="425" w:num="1"/>
          <w:docGrid w:type="lines" w:linePitch="312" w:charSpace="0"/>
        </w:sectPr>
      </w:pPr>
    </w:p>
    <w:p w14:paraId="2B56E1DE">
      <w:pPr>
        <w:pStyle w:val="24"/>
        <w:rPr>
          <w:color w:val="auto"/>
          <w:highlight w:val="none"/>
        </w:rPr>
      </w:pPr>
      <w:r>
        <w:rPr>
          <w:rFonts w:hint="eastAsia" w:ascii="仿宋" w:hAnsi="仿宋" w:eastAsia="仿宋" w:cs="仿宋"/>
          <w:b/>
          <w:bCs/>
          <w:color w:val="auto"/>
          <w:highlight w:val="none"/>
        </w:rPr>
        <w:t>附表</w:t>
      </w:r>
      <w:r>
        <w:rPr>
          <w:rFonts w:hint="eastAsia" w:ascii="仿宋" w:hAnsi="仿宋" w:eastAsia="仿宋" w:cs="仿宋"/>
          <w:color w:val="auto"/>
          <w:highlight w:val="none"/>
        </w:rPr>
        <w:t>：</w:t>
      </w:r>
    </w:p>
    <w:p w14:paraId="14328160">
      <w:pPr>
        <w:pStyle w:val="24"/>
        <w:jc w:val="center"/>
        <w:rPr>
          <w:rFonts w:hint="eastAsia" w:ascii="方正小标宋_GBK" w:hAnsi="方正小标宋_GBK" w:eastAsia="方正小标宋_GBK" w:cs="方正小标宋_GBK"/>
          <w:b w:val="0"/>
          <w:bCs w:val="0"/>
          <w:color w:val="auto"/>
          <w:sz w:val="36"/>
          <w:szCs w:val="36"/>
          <w:highlight w:val="none"/>
        </w:rPr>
      </w:pPr>
      <w:r>
        <w:rPr>
          <w:rFonts w:hint="eastAsia" w:ascii="方正小标宋_GBK" w:hAnsi="方正小标宋_GBK" w:eastAsia="方正小标宋_GBK" w:cs="方正小标宋_GBK"/>
          <w:b w:val="0"/>
          <w:bCs w:val="0"/>
          <w:sz w:val="36"/>
          <w:szCs w:val="36"/>
          <w:highlight w:val="none"/>
        </w:rPr>
        <w:t>综合评分表</w:t>
      </w:r>
    </w:p>
    <w:tbl>
      <w:tblPr>
        <w:tblStyle w:val="18"/>
        <w:tblpPr w:leftFromText="180" w:rightFromText="180" w:vertAnchor="text" w:horzAnchor="page" w:tblpX="969" w:tblpY="248"/>
        <w:tblOverlap w:val="never"/>
        <w:tblW w:w="10253"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42"/>
        <w:gridCol w:w="836"/>
        <w:gridCol w:w="1082"/>
        <w:gridCol w:w="842"/>
        <w:gridCol w:w="6851"/>
      </w:tblGrid>
      <w:tr w14:paraId="15D195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 w:hRule="atLeast"/>
          <w:tblHeader/>
        </w:trPr>
        <w:tc>
          <w:tcPr>
            <w:tcW w:w="642" w:type="dxa"/>
            <w:tcBorders>
              <w:top w:val="double" w:color="auto" w:sz="4" w:space="0"/>
              <w:left w:val="double" w:color="auto" w:sz="4" w:space="0"/>
              <w:bottom w:val="single" w:color="auto" w:sz="6" w:space="0"/>
              <w:right w:val="single" w:color="auto" w:sz="6" w:space="0"/>
            </w:tcBorders>
            <w:vAlign w:val="center"/>
          </w:tcPr>
          <w:p w14:paraId="7F50F195">
            <w:pPr>
              <w:autoSpaceDE w:val="0"/>
              <w:autoSpaceDN w:val="0"/>
              <w:adjustRightInd w:val="0"/>
              <w:snapToGrid w:val="0"/>
              <w:spacing w:line="560" w:lineRule="exact"/>
              <w:jc w:val="center"/>
              <w:rPr>
                <w:rFonts w:ascii="宋体" w:hAnsi="宋体" w:cs="宋体"/>
                <w:szCs w:val="21"/>
                <w:highlight w:val="none"/>
              </w:rPr>
            </w:pPr>
            <w:r>
              <w:rPr>
                <w:rFonts w:hint="eastAsia" w:ascii="宋体" w:hAnsi="宋体" w:cs="宋体"/>
                <w:b/>
                <w:szCs w:val="21"/>
                <w:highlight w:val="none"/>
              </w:rPr>
              <w:t>序号</w:t>
            </w:r>
          </w:p>
        </w:tc>
        <w:tc>
          <w:tcPr>
            <w:tcW w:w="1918" w:type="dxa"/>
            <w:gridSpan w:val="2"/>
            <w:tcBorders>
              <w:top w:val="double" w:color="auto" w:sz="4" w:space="0"/>
              <w:left w:val="single" w:color="auto" w:sz="6" w:space="0"/>
              <w:bottom w:val="single" w:color="auto" w:sz="6" w:space="0"/>
              <w:right w:val="single" w:color="auto" w:sz="6" w:space="0"/>
            </w:tcBorders>
            <w:vAlign w:val="center"/>
          </w:tcPr>
          <w:p w14:paraId="3C9E04C6">
            <w:pPr>
              <w:tabs>
                <w:tab w:val="left" w:pos="7215"/>
              </w:tabs>
              <w:autoSpaceDE w:val="0"/>
              <w:autoSpaceDN w:val="0"/>
              <w:spacing w:line="560" w:lineRule="exact"/>
              <w:jc w:val="center"/>
              <w:rPr>
                <w:rFonts w:ascii="宋体" w:hAnsi="宋体" w:cs="宋体"/>
                <w:b/>
                <w:szCs w:val="21"/>
                <w:highlight w:val="none"/>
              </w:rPr>
            </w:pPr>
            <w:r>
              <w:rPr>
                <w:rFonts w:hint="eastAsia" w:ascii="宋体" w:hAnsi="宋体" w:cs="宋体"/>
                <w:b/>
                <w:szCs w:val="21"/>
                <w:highlight w:val="none"/>
              </w:rPr>
              <w:t>评审因素</w:t>
            </w:r>
          </w:p>
        </w:tc>
        <w:tc>
          <w:tcPr>
            <w:tcW w:w="842" w:type="dxa"/>
            <w:tcBorders>
              <w:top w:val="double" w:color="auto" w:sz="4" w:space="0"/>
              <w:left w:val="single" w:color="auto" w:sz="6" w:space="0"/>
              <w:bottom w:val="single" w:color="auto" w:sz="6" w:space="0"/>
              <w:right w:val="single" w:color="auto" w:sz="6" w:space="0"/>
            </w:tcBorders>
            <w:vAlign w:val="center"/>
          </w:tcPr>
          <w:p w14:paraId="4045828C">
            <w:pPr>
              <w:tabs>
                <w:tab w:val="left" w:pos="7215"/>
              </w:tabs>
              <w:autoSpaceDE w:val="0"/>
              <w:autoSpaceDN w:val="0"/>
              <w:spacing w:line="560" w:lineRule="exact"/>
              <w:jc w:val="center"/>
              <w:rPr>
                <w:rFonts w:ascii="宋体" w:hAnsi="宋体" w:cs="宋体"/>
                <w:szCs w:val="21"/>
                <w:highlight w:val="none"/>
              </w:rPr>
            </w:pPr>
            <w:r>
              <w:rPr>
                <w:rFonts w:hint="eastAsia" w:ascii="宋体" w:hAnsi="宋体" w:cs="宋体"/>
                <w:b/>
                <w:szCs w:val="21"/>
                <w:highlight w:val="none"/>
              </w:rPr>
              <w:t>分值</w:t>
            </w:r>
          </w:p>
        </w:tc>
        <w:tc>
          <w:tcPr>
            <w:tcW w:w="6851" w:type="dxa"/>
            <w:tcBorders>
              <w:top w:val="double" w:color="auto" w:sz="4" w:space="0"/>
              <w:left w:val="single" w:color="auto" w:sz="6" w:space="0"/>
              <w:bottom w:val="single" w:color="auto" w:sz="6" w:space="0"/>
              <w:right w:val="double" w:color="auto" w:sz="4" w:space="0"/>
            </w:tcBorders>
            <w:vAlign w:val="center"/>
          </w:tcPr>
          <w:p w14:paraId="6366CE22">
            <w:pPr>
              <w:tabs>
                <w:tab w:val="left" w:pos="7215"/>
              </w:tabs>
              <w:autoSpaceDE w:val="0"/>
              <w:autoSpaceDN w:val="0"/>
              <w:spacing w:line="320" w:lineRule="exact"/>
              <w:jc w:val="center"/>
              <w:rPr>
                <w:rFonts w:ascii="宋体" w:hAnsi="宋体" w:cs="宋体"/>
                <w:szCs w:val="21"/>
                <w:highlight w:val="none"/>
              </w:rPr>
            </w:pPr>
            <w:r>
              <w:rPr>
                <w:rFonts w:hint="eastAsia" w:ascii="宋体" w:hAnsi="宋体" w:cs="宋体"/>
                <w:b/>
                <w:szCs w:val="21"/>
                <w:highlight w:val="none"/>
              </w:rPr>
              <w:t>评分标准</w:t>
            </w:r>
          </w:p>
        </w:tc>
      </w:tr>
      <w:tr w14:paraId="6C1617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29" w:hRule="atLeast"/>
        </w:trPr>
        <w:tc>
          <w:tcPr>
            <w:tcW w:w="642" w:type="dxa"/>
            <w:tcBorders>
              <w:top w:val="single" w:color="auto" w:sz="6" w:space="0"/>
              <w:left w:val="double" w:color="auto" w:sz="4" w:space="0"/>
              <w:bottom w:val="single" w:color="auto" w:sz="6" w:space="0"/>
              <w:right w:val="single" w:color="auto" w:sz="6" w:space="0"/>
            </w:tcBorders>
            <w:vAlign w:val="center"/>
          </w:tcPr>
          <w:p w14:paraId="627A439E">
            <w:pPr>
              <w:pStyle w:val="34"/>
              <w:autoSpaceDE w:val="0"/>
              <w:autoSpaceDN w:val="0"/>
              <w:snapToGrid w:val="0"/>
              <w:spacing w:before="240" w:line="560" w:lineRule="exact"/>
              <w:jc w:val="center"/>
              <w:rPr>
                <w:rFonts w:ascii="宋体" w:hAnsi="宋体" w:cs="宋体"/>
                <w:sz w:val="18"/>
                <w:szCs w:val="18"/>
                <w:highlight w:val="none"/>
              </w:rPr>
            </w:pPr>
            <w:r>
              <w:rPr>
                <w:rFonts w:hint="eastAsia" w:ascii="宋体" w:hAnsi="宋体" w:cs="宋体"/>
                <w:sz w:val="18"/>
                <w:szCs w:val="18"/>
                <w:highlight w:val="none"/>
              </w:rPr>
              <w:t>1</w:t>
            </w:r>
          </w:p>
        </w:tc>
        <w:tc>
          <w:tcPr>
            <w:tcW w:w="1918" w:type="dxa"/>
            <w:gridSpan w:val="2"/>
            <w:tcBorders>
              <w:top w:val="single" w:color="auto" w:sz="6" w:space="0"/>
              <w:left w:val="single" w:color="auto" w:sz="6" w:space="0"/>
              <w:bottom w:val="single" w:color="auto" w:sz="6" w:space="0"/>
              <w:right w:val="single" w:color="auto" w:sz="6" w:space="0"/>
            </w:tcBorders>
            <w:vAlign w:val="center"/>
          </w:tcPr>
          <w:p w14:paraId="2E464347">
            <w:pPr>
              <w:pStyle w:val="34"/>
              <w:autoSpaceDE w:val="0"/>
              <w:autoSpaceDN w:val="0"/>
              <w:snapToGrid w:val="0"/>
              <w:spacing w:line="400" w:lineRule="exact"/>
              <w:jc w:val="center"/>
              <w:rPr>
                <w:rFonts w:ascii="仿宋" w:hAnsi="仿宋" w:eastAsia="仿宋" w:cs="宋体"/>
                <w:szCs w:val="21"/>
                <w:highlight w:val="none"/>
              </w:rPr>
            </w:pPr>
            <w:r>
              <w:rPr>
                <w:rFonts w:hint="eastAsia" w:ascii="仿宋" w:hAnsi="仿宋" w:eastAsia="仿宋" w:cs="宋体"/>
                <w:szCs w:val="21"/>
                <w:highlight w:val="none"/>
              </w:rPr>
              <w:t>投标报价</w:t>
            </w:r>
          </w:p>
          <w:p w14:paraId="7BC1DD25">
            <w:pPr>
              <w:pStyle w:val="34"/>
              <w:autoSpaceDE w:val="0"/>
              <w:autoSpaceDN w:val="0"/>
              <w:snapToGrid w:val="0"/>
              <w:spacing w:line="400" w:lineRule="exact"/>
              <w:jc w:val="center"/>
              <w:rPr>
                <w:rFonts w:ascii="仿宋" w:hAnsi="仿宋" w:eastAsia="仿宋" w:cs="宋体"/>
                <w:szCs w:val="21"/>
                <w:highlight w:val="none"/>
              </w:rPr>
            </w:pPr>
            <w:r>
              <w:rPr>
                <w:rFonts w:hint="eastAsia" w:ascii="仿宋" w:hAnsi="仿宋" w:eastAsia="仿宋" w:cs="宋体"/>
                <w:szCs w:val="21"/>
                <w:highlight w:val="none"/>
              </w:rPr>
              <w:t>（</w:t>
            </w:r>
            <w:r>
              <w:rPr>
                <w:rFonts w:hint="eastAsia" w:ascii="仿宋" w:hAnsi="仿宋" w:eastAsia="仿宋" w:cs="宋体"/>
                <w:szCs w:val="21"/>
                <w:highlight w:val="none"/>
                <w:lang w:val="en-US" w:eastAsia="zh-CN"/>
              </w:rPr>
              <w:t>3</w:t>
            </w:r>
            <w:r>
              <w:rPr>
                <w:rFonts w:hint="eastAsia" w:ascii="仿宋" w:hAnsi="仿宋" w:eastAsia="仿宋" w:cs="宋体"/>
                <w:szCs w:val="21"/>
                <w:highlight w:val="none"/>
              </w:rPr>
              <w:t>0分）</w:t>
            </w:r>
          </w:p>
        </w:tc>
        <w:tc>
          <w:tcPr>
            <w:tcW w:w="842" w:type="dxa"/>
            <w:tcBorders>
              <w:top w:val="single" w:color="auto" w:sz="6" w:space="0"/>
              <w:left w:val="single" w:color="auto" w:sz="6" w:space="0"/>
              <w:bottom w:val="single" w:color="auto" w:sz="6" w:space="0"/>
              <w:right w:val="single" w:color="auto" w:sz="6" w:space="0"/>
            </w:tcBorders>
            <w:vAlign w:val="center"/>
          </w:tcPr>
          <w:p w14:paraId="07563F77">
            <w:pPr>
              <w:pStyle w:val="34"/>
              <w:autoSpaceDE w:val="0"/>
              <w:autoSpaceDN w:val="0"/>
              <w:snapToGrid w:val="0"/>
              <w:spacing w:line="400" w:lineRule="exact"/>
              <w:jc w:val="center"/>
              <w:rPr>
                <w:rFonts w:ascii="仿宋" w:hAnsi="仿宋" w:eastAsia="仿宋" w:cs="宋体"/>
                <w:szCs w:val="21"/>
                <w:highlight w:val="none"/>
              </w:rPr>
            </w:pPr>
            <w:r>
              <w:rPr>
                <w:rFonts w:hint="eastAsia" w:ascii="仿宋" w:hAnsi="仿宋" w:eastAsia="仿宋" w:cs="宋体"/>
                <w:szCs w:val="21"/>
                <w:highlight w:val="none"/>
                <w:lang w:val="en-US" w:eastAsia="zh-CN"/>
              </w:rPr>
              <w:t>3</w:t>
            </w:r>
            <w:r>
              <w:rPr>
                <w:rFonts w:hint="eastAsia" w:ascii="仿宋" w:hAnsi="仿宋" w:eastAsia="仿宋" w:cs="宋体"/>
                <w:szCs w:val="21"/>
                <w:highlight w:val="none"/>
              </w:rPr>
              <w:t>0分</w:t>
            </w:r>
          </w:p>
        </w:tc>
        <w:tc>
          <w:tcPr>
            <w:tcW w:w="6851" w:type="dxa"/>
            <w:tcBorders>
              <w:top w:val="single" w:color="auto" w:sz="6" w:space="0"/>
              <w:left w:val="single" w:color="auto" w:sz="6" w:space="0"/>
              <w:bottom w:val="single" w:color="auto" w:sz="6" w:space="0"/>
              <w:right w:val="double" w:color="auto" w:sz="4" w:space="0"/>
            </w:tcBorders>
            <w:vAlign w:val="center"/>
          </w:tcPr>
          <w:p w14:paraId="1842DEB6">
            <w:pPr>
              <w:widowControl/>
              <w:spacing w:line="320" w:lineRule="exact"/>
              <w:jc w:val="left"/>
              <w:rPr>
                <w:rFonts w:ascii="仿宋" w:hAnsi="仿宋" w:eastAsia="仿宋" w:cs="宋体"/>
                <w:szCs w:val="21"/>
                <w:highlight w:val="none"/>
              </w:rPr>
            </w:pPr>
            <w:r>
              <w:rPr>
                <w:rFonts w:hint="eastAsia" w:ascii="仿宋" w:hAnsi="仿宋" w:eastAsia="仿宋" w:cs="仿宋"/>
                <w:kern w:val="0"/>
                <w:szCs w:val="21"/>
                <w:highlight w:val="none"/>
              </w:rPr>
              <w:t>投标报价的偏差率计算公式：偏差率＝（参选人报价－评标基准价）/评标基准价×100％。详见报价评分标准表。</w:t>
            </w:r>
          </w:p>
        </w:tc>
      </w:tr>
      <w:tr w14:paraId="565980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15" w:hRule="atLeast"/>
        </w:trPr>
        <w:tc>
          <w:tcPr>
            <w:tcW w:w="642" w:type="dxa"/>
            <w:vMerge w:val="restart"/>
            <w:tcBorders>
              <w:left w:val="double" w:color="auto" w:sz="4" w:space="0"/>
              <w:right w:val="single" w:color="auto" w:sz="6" w:space="0"/>
            </w:tcBorders>
            <w:vAlign w:val="center"/>
          </w:tcPr>
          <w:p w14:paraId="11B61C94">
            <w:pPr>
              <w:pStyle w:val="34"/>
              <w:autoSpaceDE w:val="0"/>
              <w:autoSpaceDN w:val="0"/>
              <w:snapToGrid w:val="0"/>
              <w:spacing w:before="240" w:line="560" w:lineRule="exact"/>
              <w:jc w:val="center"/>
              <w:rPr>
                <w:rFonts w:hint="eastAsia" w:ascii="宋体" w:hAnsi="宋体" w:cs="宋体"/>
                <w:sz w:val="18"/>
                <w:szCs w:val="18"/>
                <w:highlight w:val="none"/>
              </w:rPr>
            </w:pPr>
            <w:r>
              <w:rPr>
                <w:rFonts w:hint="eastAsia" w:ascii="宋体" w:hAnsi="宋体" w:cs="宋体"/>
                <w:sz w:val="18"/>
                <w:szCs w:val="18"/>
                <w:highlight w:val="none"/>
              </w:rPr>
              <w:t>2</w:t>
            </w:r>
          </w:p>
          <w:p w14:paraId="1809360C">
            <w:pPr>
              <w:pStyle w:val="34"/>
              <w:autoSpaceDE w:val="0"/>
              <w:autoSpaceDN w:val="0"/>
              <w:snapToGrid w:val="0"/>
              <w:spacing w:before="240" w:line="560" w:lineRule="exact"/>
              <w:jc w:val="center"/>
              <w:rPr>
                <w:rFonts w:ascii="宋体" w:hAnsi="宋体" w:cs="宋体"/>
                <w:sz w:val="18"/>
                <w:szCs w:val="18"/>
                <w:highlight w:val="none"/>
              </w:rPr>
            </w:pPr>
          </w:p>
        </w:tc>
        <w:tc>
          <w:tcPr>
            <w:tcW w:w="836" w:type="dxa"/>
            <w:vMerge w:val="restart"/>
            <w:tcBorders>
              <w:left w:val="single" w:color="auto" w:sz="6" w:space="0"/>
              <w:right w:val="single" w:color="auto" w:sz="6" w:space="0"/>
            </w:tcBorders>
            <w:vAlign w:val="center"/>
          </w:tcPr>
          <w:p w14:paraId="076DDF09">
            <w:pPr>
              <w:pStyle w:val="34"/>
              <w:autoSpaceDE w:val="0"/>
              <w:autoSpaceDN w:val="0"/>
              <w:snapToGrid w:val="0"/>
              <w:spacing w:line="400" w:lineRule="exact"/>
              <w:jc w:val="distribute"/>
              <w:rPr>
                <w:rFonts w:ascii="仿宋" w:hAnsi="仿宋" w:eastAsia="仿宋" w:cs="宋体"/>
                <w:szCs w:val="21"/>
                <w:highlight w:val="none"/>
              </w:rPr>
            </w:pPr>
            <w:r>
              <w:rPr>
                <w:rFonts w:hint="eastAsia" w:ascii="仿宋" w:hAnsi="仿宋" w:eastAsia="仿宋" w:cs="宋体"/>
                <w:szCs w:val="21"/>
                <w:highlight w:val="none"/>
              </w:rPr>
              <w:t>技术部分</w:t>
            </w:r>
          </w:p>
          <w:p w14:paraId="00E47018">
            <w:pPr>
              <w:pStyle w:val="34"/>
              <w:autoSpaceDE w:val="0"/>
              <w:autoSpaceDN w:val="0"/>
              <w:snapToGrid w:val="0"/>
              <w:spacing w:line="400" w:lineRule="exact"/>
              <w:jc w:val="distribute"/>
              <w:rPr>
                <w:rFonts w:hint="eastAsia" w:ascii="仿宋" w:hAnsi="仿宋" w:eastAsia="仿宋" w:cs="宋体"/>
                <w:szCs w:val="21"/>
                <w:highlight w:val="none"/>
              </w:rPr>
            </w:pPr>
            <w:r>
              <w:rPr>
                <w:rFonts w:hint="eastAsia" w:ascii="仿宋" w:hAnsi="仿宋" w:eastAsia="仿宋" w:cs="宋体"/>
                <w:szCs w:val="21"/>
                <w:highlight w:val="none"/>
              </w:rPr>
              <w:t>（</w:t>
            </w:r>
            <w:r>
              <w:rPr>
                <w:rFonts w:hint="eastAsia" w:ascii="仿宋" w:hAnsi="仿宋" w:eastAsia="仿宋" w:cs="宋体"/>
                <w:szCs w:val="21"/>
                <w:highlight w:val="none"/>
                <w:lang w:val="en-US" w:eastAsia="zh-CN"/>
              </w:rPr>
              <w:t>2</w:t>
            </w:r>
            <w:r>
              <w:rPr>
                <w:rFonts w:hint="eastAsia" w:ascii="仿宋" w:hAnsi="仿宋" w:eastAsia="仿宋" w:cs="宋体"/>
                <w:szCs w:val="21"/>
                <w:highlight w:val="none"/>
              </w:rPr>
              <w:t>0分）</w:t>
            </w:r>
          </w:p>
          <w:p w14:paraId="63316036">
            <w:pPr>
              <w:pStyle w:val="34"/>
              <w:autoSpaceDE w:val="0"/>
              <w:autoSpaceDN w:val="0"/>
              <w:snapToGrid w:val="0"/>
              <w:spacing w:line="400" w:lineRule="exact"/>
              <w:jc w:val="distribute"/>
              <w:rPr>
                <w:rFonts w:ascii="仿宋" w:hAnsi="仿宋" w:eastAsia="仿宋" w:cs="宋体"/>
                <w:szCs w:val="21"/>
                <w:highlight w:val="none"/>
              </w:rPr>
            </w:pPr>
          </w:p>
        </w:tc>
        <w:tc>
          <w:tcPr>
            <w:tcW w:w="1082" w:type="dxa"/>
            <w:tcBorders>
              <w:top w:val="single" w:color="auto" w:sz="6" w:space="0"/>
              <w:left w:val="single" w:color="auto" w:sz="6" w:space="0"/>
              <w:bottom w:val="single" w:color="auto" w:sz="6" w:space="0"/>
              <w:right w:val="single" w:color="auto" w:sz="6" w:space="0"/>
            </w:tcBorders>
            <w:vAlign w:val="center"/>
          </w:tcPr>
          <w:p w14:paraId="4042F10E">
            <w:pPr>
              <w:pStyle w:val="34"/>
              <w:autoSpaceDE w:val="0"/>
              <w:autoSpaceDN w:val="0"/>
              <w:snapToGrid w:val="0"/>
              <w:spacing w:line="400" w:lineRule="exact"/>
              <w:jc w:val="center"/>
              <w:rPr>
                <w:rFonts w:ascii="仿宋" w:hAnsi="仿宋" w:eastAsia="仿宋" w:cs="宋体"/>
                <w:szCs w:val="21"/>
                <w:highlight w:val="none"/>
                <w:lang w:val="zh-CN"/>
              </w:rPr>
            </w:pPr>
            <w:r>
              <w:rPr>
                <w:rFonts w:hint="eastAsia" w:ascii="仿宋" w:hAnsi="仿宋" w:eastAsia="仿宋" w:cs="宋体"/>
                <w:szCs w:val="21"/>
                <w:highlight w:val="none"/>
              </w:rPr>
              <w:t>服务方案及承诺</w:t>
            </w:r>
          </w:p>
        </w:tc>
        <w:tc>
          <w:tcPr>
            <w:tcW w:w="842" w:type="dxa"/>
            <w:tcBorders>
              <w:top w:val="single" w:color="auto" w:sz="6" w:space="0"/>
              <w:left w:val="single" w:color="auto" w:sz="6" w:space="0"/>
              <w:bottom w:val="single" w:color="auto" w:sz="6" w:space="0"/>
              <w:right w:val="single" w:color="auto" w:sz="6" w:space="0"/>
            </w:tcBorders>
            <w:vAlign w:val="center"/>
          </w:tcPr>
          <w:p w14:paraId="038B928F">
            <w:pPr>
              <w:pStyle w:val="34"/>
              <w:autoSpaceDE w:val="0"/>
              <w:autoSpaceDN w:val="0"/>
              <w:snapToGrid w:val="0"/>
              <w:spacing w:line="400" w:lineRule="exact"/>
              <w:jc w:val="center"/>
              <w:rPr>
                <w:rFonts w:ascii="仿宋" w:hAnsi="仿宋" w:eastAsia="仿宋" w:cs="宋体"/>
                <w:szCs w:val="21"/>
                <w:highlight w:val="none"/>
              </w:rPr>
            </w:pPr>
            <w:r>
              <w:rPr>
                <w:rFonts w:hint="eastAsia" w:ascii="仿宋" w:hAnsi="仿宋" w:eastAsia="仿宋" w:cs="宋体"/>
                <w:szCs w:val="21"/>
                <w:highlight w:val="none"/>
                <w:lang w:val="en-US" w:eastAsia="zh-CN"/>
              </w:rPr>
              <w:t>1</w:t>
            </w:r>
            <w:r>
              <w:rPr>
                <w:rFonts w:hint="eastAsia" w:ascii="仿宋" w:hAnsi="仿宋" w:eastAsia="仿宋" w:cs="宋体"/>
                <w:szCs w:val="21"/>
                <w:highlight w:val="none"/>
              </w:rPr>
              <w:t>0分</w:t>
            </w:r>
          </w:p>
        </w:tc>
        <w:tc>
          <w:tcPr>
            <w:tcW w:w="6851" w:type="dxa"/>
            <w:tcBorders>
              <w:top w:val="single" w:color="auto" w:sz="6" w:space="0"/>
              <w:left w:val="single" w:color="auto" w:sz="6" w:space="0"/>
              <w:bottom w:val="single" w:color="auto" w:sz="6" w:space="0"/>
              <w:right w:val="double" w:color="auto" w:sz="4" w:space="0"/>
            </w:tcBorders>
          </w:tcPr>
          <w:p w14:paraId="2A6551F3">
            <w:pPr>
              <w:pStyle w:val="34"/>
              <w:autoSpaceDE w:val="0"/>
              <w:autoSpaceDN w:val="0"/>
              <w:snapToGrid w:val="0"/>
              <w:spacing w:line="320" w:lineRule="exact"/>
              <w:jc w:val="left"/>
              <w:rPr>
                <w:rFonts w:hint="eastAsia" w:ascii="仿宋" w:hAnsi="仿宋" w:eastAsia="仿宋" w:cs="宋体"/>
                <w:szCs w:val="21"/>
                <w:highlight w:val="none"/>
              </w:rPr>
            </w:pPr>
            <w:r>
              <w:rPr>
                <w:rFonts w:hint="eastAsia" w:ascii="仿宋" w:hAnsi="仿宋" w:eastAsia="仿宋" w:cs="仿宋"/>
                <w:color w:val="auto"/>
                <w:sz w:val="21"/>
                <w:szCs w:val="21"/>
                <w:highlight w:val="none"/>
                <w:lang w:val="en-US" w:eastAsia="zh-CN"/>
              </w:rPr>
              <w:t>参选</w:t>
            </w:r>
            <w:r>
              <w:rPr>
                <w:rFonts w:hint="eastAsia" w:ascii="仿宋" w:hAnsi="仿宋" w:eastAsia="仿宋" w:cs="仿宋"/>
                <w:color w:val="auto"/>
                <w:sz w:val="21"/>
                <w:szCs w:val="21"/>
                <w:highlight w:val="none"/>
              </w:rPr>
              <w:t>人须提供针对本项目的</w:t>
            </w:r>
            <w:r>
              <w:rPr>
                <w:rFonts w:hint="eastAsia" w:ascii="仿宋" w:hAnsi="仿宋" w:eastAsia="仿宋" w:cs="仿宋"/>
                <w:color w:val="auto"/>
                <w:sz w:val="21"/>
                <w:szCs w:val="21"/>
                <w:highlight w:val="none"/>
                <w:lang w:val="en-US" w:eastAsia="zh-CN"/>
              </w:rPr>
              <w:t>服务</w:t>
            </w:r>
            <w:r>
              <w:rPr>
                <w:rFonts w:hint="eastAsia" w:ascii="仿宋" w:hAnsi="仿宋" w:eastAsia="仿宋" w:cs="仿宋"/>
                <w:color w:val="auto"/>
                <w:sz w:val="21"/>
                <w:szCs w:val="21"/>
                <w:highlight w:val="none"/>
              </w:rPr>
              <w:t>方案，应包括</w:t>
            </w:r>
            <w:r>
              <w:rPr>
                <w:rFonts w:hint="eastAsia" w:ascii="仿宋" w:hAnsi="仿宋" w:eastAsia="仿宋" w:cs="仿宋"/>
                <w:color w:val="auto"/>
                <w:spacing w:val="-3"/>
                <w:sz w:val="21"/>
                <w:szCs w:val="21"/>
                <w:highlight w:val="none"/>
              </w:rPr>
              <w:t>总体工作计划</w:t>
            </w:r>
            <w:r>
              <w:rPr>
                <w:rFonts w:hint="eastAsia" w:ascii="仿宋" w:hAnsi="仿宋" w:eastAsia="仿宋" w:cs="仿宋"/>
                <w:color w:val="auto"/>
                <w:spacing w:val="-3"/>
                <w:sz w:val="21"/>
                <w:szCs w:val="21"/>
                <w:highlight w:val="none"/>
                <w:lang w:eastAsia="zh-CN"/>
              </w:rPr>
              <w:t>、人员配备、</w:t>
            </w:r>
            <w:r>
              <w:rPr>
                <w:rFonts w:hint="eastAsia" w:ascii="仿宋" w:hAnsi="仿宋" w:eastAsia="仿宋" w:cs="仿宋"/>
                <w:color w:val="auto"/>
                <w:spacing w:val="-3"/>
                <w:sz w:val="21"/>
                <w:szCs w:val="21"/>
                <w:highlight w:val="none"/>
                <w:lang w:val="en-US" w:eastAsia="zh-CN"/>
              </w:rPr>
              <w:t>菜谱制定、</w:t>
            </w:r>
            <w:r>
              <w:rPr>
                <w:rFonts w:hint="eastAsia" w:ascii="仿宋" w:hAnsi="仿宋" w:eastAsia="仿宋" w:cs="仿宋"/>
                <w:b w:val="0"/>
                <w:bCs w:val="0"/>
                <w:color w:val="auto"/>
                <w:sz w:val="21"/>
                <w:szCs w:val="21"/>
                <w:highlight w:val="none"/>
              </w:rPr>
              <w:t>质量保</w:t>
            </w:r>
            <w:r>
              <w:rPr>
                <w:rFonts w:hint="eastAsia" w:ascii="仿宋" w:hAnsi="仿宋" w:eastAsia="仿宋" w:cs="仿宋"/>
                <w:b w:val="0"/>
                <w:bCs w:val="0"/>
                <w:color w:val="auto"/>
                <w:sz w:val="21"/>
                <w:szCs w:val="21"/>
                <w:highlight w:val="none"/>
                <w:lang w:eastAsia="zh-CN"/>
              </w:rPr>
              <w:t>障</w:t>
            </w:r>
            <w:r>
              <w:rPr>
                <w:rFonts w:hint="eastAsia" w:ascii="仿宋" w:hAnsi="仿宋" w:eastAsia="仿宋" w:cs="仿宋"/>
                <w:b w:val="0"/>
                <w:bCs w:val="0"/>
                <w:color w:val="auto"/>
                <w:sz w:val="21"/>
                <w:szCs w:val="21"/>
                <w:highlight w:val="none"/>
              </w:rPr>
              <w:t>措施</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color w:val="auto"/>
                <w:sz w:val="21"/>
                <w:szCs w:val="21"/>
                <w:highlight w:val="none"/>
                <w:lang w:eastAsia="zh-CN"/>
              </w:rPr>
              <w:t>食材</w:t>
            </w:r>
            <w:r>
              <w:rPr>
                <w:rFonts w:hint="eastAsia" w:ascii="仿宋" w:hAnsi="仿宋" w:eastAsia="仿宋" w:cs="仿宋"/>
                <w:color w:val="auto"/>
                <w:sz w:val="21"/>
                <w:szCs w:val="21"/>
                <w:highlight w:val="none"/>
                <w:lang w:val="en-US" w:eastAsia="zh-CN"/>
              </w:rPr>
              <w:t>成本控制方案</w:t>
            </w:r>
            <w:r>
              <w:rPr>
                <w:rFonts w:hint="eastAsia" w:ascii="仿宋" w:hAnsi="仿宋" w:eastAsia="仿宋" w:cs="仿宋"/>
                <w:color w:val="auto"/>
                <w:sz w:val="21"/>
                <w:szCs w:val="21"/>
                <w:highlight w:val="none"/>
              </w:rPr>
              <w:t>、食品卫生保障管理制度、文明服务管理制度、安全</w:t>
            </w:r>
            <w:r>
              <w:rPr>
                <w:rFonts w:hint="eastAsia" w:ascii="仿宋" w:hAnsi="仿宋" w:eastAsia="仿宋" w:cs="仿宋"/>
                <w:color w:val="auto"/>
                <w:sz w:val="21"/>
                <w:szCs w:val="21"/>
                <w:highlight w:val="none"/>
                <w:lang w:eastAsia="zh-CN"/>
              </w:rPr>
              <w:t>保障</w:t>
            </w:r>
            <w:r>
              <w:rPr>
                <w:rFonts w:hint="eastAsia" w:ascii="仿宋" w:hAnsi="仿宋" w:eastAsia="仿宋" w:cs="仿宋"/>
                <w:color w:val="auto"/>
                <w:sz w:val="21"/>
                <w:szCs w:val="21"/>
                <w:highlight w:val="none"/>
              </w:rPr>
              <w:t>制度</w:t>
            </w:r>
            <w:r>
              <w:rPr>
                <w:rFonts w:hint="eastAsia" w:ascii="仿宋" w:hAnsi="仿宋" w:eastAsia="仿宋" w:cs="仿宋"/>
                <w:color w:val="auto"/>
                <w:sz w:val="21"/>
                <w:szCs w:val="21"/>
                <w:highlight w:val="none"/>
                <w:lang w:val="en-US" w:eastAsia="zh-CN"/>
              </w:rPr>
              <w:t>以及制定应急预案的</w:t>
            </w:r>
            <w:r>
              <w:rPr>
                <w:rFonts w:hint="eastAsia" w:ascii="仿宋" w:hAnsi="仿宋" w:eastAsia="仿宋" w:cs="宋体"/>
                <w:szCs w:val="21"/>
                <w:highlight w:val="none"/>
              </w:rPr>
              <w:t>可行性和完整度进行综合评分。</w:t>
            </w:r>
          </w:p>
          <w:p w14:paraId="788CAE70">
            <w:pPr>
              <w:pStyle w:val="34"/>
              <w:autoSpaceDE w:val="0"/>
              <w:autoSpaceDN w:val="0"/>
              <w:snapToGrid w:val="0"/>
              <w:spacing w:line="320" w:lineRule="exact"/>
              <w:jc w:val="left"/>
              <w:rPr>
                <w:rFonts w:ascii="仿宋" w:hAnsi="仿宋" w:eastAsia="仿宋" w:cs="宋体"/>
                <w:szCs w:val="21"/>
                <w:highlight w:val="none"/>
              </w:rPr>
            </w:pPr>
            <w:r>
              <w:rPr>
                <w:rFonts w:hint="eastAsia" w:ascii="仿宋" w:hAnsi="仿宋" w:eastAsia="仿宋" w:cs="仿宋"/>
                <w:szCs w:val="21"/>
                <w:highlight w:val="none"/>
              </w:rPr>
              <w:t>内</w:t>
            </w:r>
            <w:r>
              <w:rPr>
                <w:rFonts w:hint="eastAsia" w:ascii="仿宋" w:hAnsi="仿宋" w:eastAsia="仿宋" w:cs="宋体"/>
                <w:szCs w:val="21"/>
                <w:highlight w:val="none"/>
              </w:rPr>
              <w:t>容完整、科学合理、操作性强，服务承诺较完善的，计</w:t>
            </w:r>
            <w:r>
              <w:rPr>
                <w:rFonts w:hint="eastAsia" w:ascii="仿宋" w:hAnsi="仿宋" w:eastAsia="仿宋" w:cs="宋体"/>
                <w:szCs w:val="21"/>
                <w:highlight w:val="none"/>
                <w:lang w:val="en-US" w:eastAsia="zh-CN"/>
              </w:rPr>
              <w:t>10</w:t>
            </w:r>
            <w:r>
              <w:rPr>
                <w:rFonts w:hint="eastAsia" w:ascii="仿宋" w:hAnsi="仿宋" w:eastAsia="仿宋" w:cs="宋体"/>
                <w:szCs w:val="21"/>
                <w:highlight w:val="none"/>
              </w:rPr>
              <w:t>分；每缺一项扣</w:t>
            </w:r>
            <w:r>
              <w:rPr>
                <w:rFonts w:hint="eastAsia" w:ascii="仿宋" w:hAnsi="仿宋" w:eastAsia="仿宋" w:cs="宋体"/>
                <w:szCs w:val="21"/>
                <w:highlight w:val="none"/>
                <w:lang w:val="en-US" w:eastAsia="zh-CN"/>
              </w:rPr>
              <w:t>1</w:t>
            </w:r>
            <w:r>
              <w:rPr>
                <w:rFonts w:hint="eastAsia" w:ascii="仿宋" w:hAnsi="仿宋" w:eastAsia="仿宋" w:cs="宋体"/>
                <w:szCs w:val="21"/>
                <w:highlight w:val="none"/>
              </w:rPr>
              <w:t>分，扣完为止；未提供不计分。</w:t>
            </w:r>
          </w:p>
        </w:tc>
      </w:tr>
      <w:tr w14:paraId="10AAA7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39" w:hRule="atLeast"/>
        </w:trPr>
        <w:tc>
          <w:tcPr>
            <w:tcW w:w="642" w:type="dxa"/>
            <w:vMerge w:val="continue"/>
            <w:tcBorders>
              <w:left w:val="double" w:color="auto" w:sz="4" w:space="0"/>
              <w:right w:val="single" w:color="auto" w:sz="6" w:space="0"/>
            </w:tcBorders>
            <w:vAlign w:val="center"/>
          </w:tcPr>
          <w:p w14:paraId="2CBC6191">
            <w:pPr>
              <w:pStyle w:val="34"/>
              <w:autoSpaceDE w:val="0"/>
              <w:autoSpaceDN w:val="0"/>
              <w:snapToGrid w:val="0"/>
              <w:spacing w:before="240" w:line="560" w:lineRule="exact"/>
              <w:jc w:val="center"/>
              <w:rPr>
                <w:rFonts w:ascii="宋体" w:hAnsi="宋体" w:cs="宋体"/>
                <w:sz w:val="18"/>
                <w:szCs w:val="18"/>
                <w:highlight w:val="none"/>
              </w:rPr>
            </w:pPr>
          </w:p>
        </w:tc>
        <w:tc>
          <w:tcPr>
            <w:tcW w:w="836" w:type="dxa"/>
            <w:vMerge w:val="continue"/>
            <w:tcBorders>
              <w:left w:val="single" w:color="auto" w:sz="6" w:space="0"/>
              <w:right w:val="single" w:color="auto" w:sz="6" w:space="0"/>
            </w:tcBorders>
            <w:vAlign w:val="center"/>
          </w:tcPr>
          <w:p w14:paraId="6B0BB780">
            <w:pPr>
              <w:pStyle w:val="34"/>
              <w:autoSpaceDE w:val="0"/>
              <w:autoSpaceDN w:val="0"/>
              <w:snapToGrid w:val="0"/>
              <w:spacing w:line="400" w:lineRule="exact"/>
              <w:jc w:val="distribute"/>
              <w:rPr>
                <w:rFonts w:ascii="仿宋" w:hAnsi="仿宋" w:eastAsia="仿宋" w:cs="宋体"/>
                <w:szCs w:val="21"/>
                <w:highlight w:val="none"/>
              </w:rPr>
            </w:pPr>
          </w:p>
        </w:tc>
        <w:tc>
          <w:tcPr>
            <w:tcW w:w="1082" w:type="dxa"/>
            <w:tcBorders>
              <w:top w:val="single" w:color="auto" w:sz="6" w:space="0"/>
              <w:left w:val="single" w:color="auto" w:sz="6" w:space="0"/>
              <w:right w:val="single" w:color="auto" w:sz="6" w:space="0"/>
            </w:tcBorders>
            <w:shd w:val="clear" w:color="auto" w:fill="auto"/>
            <w:vAlign w:val="center"/>
          </w:tcPr>
          <w:p w14:paraId="71483872">
            <w:pPr>
              <w:pStyle w:val="34"/>
              <w:autoSpaceDE w:val="0"/>
              <w:autoSpaceDN w:val="0"/>
              <w:snapToGrid w:val="0"/>
              <w:spacing w:line="400" w:lineRule="exact"/>
              <w:jc w:val="center"/>
              <w:rPr>
                <w:rFonts w:hint="default" w:ascii="仿宋" w:hAnsi="仿宋" w:eastAsia="仿宋" w:cs="宋体"/>
                <w:szCs w:val="21"/>
                <w:highlight w:val="none"/>
                <w:lang w:val="en-US" w:eastAsia="zh-CN"/>
              </w:rPr>
            </w:pPr>
            <w:r>
              <w:rPr>
                <w:rFonts w:hint="eastAsia" w:ascii="仿宋" w:hAnsi="仿宋" w:eastAsia="仿宋" w:cs="宋体"/>
                <w:szCs w:val="21"/>
                <w:highlight w:val="none"/>
              </w:rPr>
              <w:t>服务团队</w:t>
            </w:r>
            <w:r>
              <w:rPr>
                <w:rFonts w:hint="eastAsia" w:ascii="仿宋" w:hAnsi="仿宋" w:eastAsia="仿宋" w:cs="宋体"/>
                <w:szCs w:val="21"/>
                <w:highlight w:val="none"/>
                <w:lang w:val="en-US" w:eastAsia="zh-CN"/>
              </w:rPr>
              <w:t>人员要求</w:t>
            </w:r>
          </w:p>
        </w:tc>
        <w:tc>
          <w:tcPr>
            <w:tcW w:w="842" w:type="dxa"/>
            <w:tcBorders>
              <w:top w:val="single" w:color="auto" w:sz="6" w:space="0"/>
              <w:left w:val="single" w:color="auto" w:sz="6" w:space="0"/>
              <w:bottom w:val="single" w:color="auto" w:sz="6" w:space="0"/>
              <w:right w:val="single" w:color="auto" w:sz="6" w:space="0"/>
            </w:tcBorders>
            <w:shd w:val="clear" w:color="auto" w:fill="auto"/>
            <w:vAlign w:val="center"/>
          </w:tcPr>
          <w:p w14:paraId="1B5124BD">
            <w:pPr>
              <w:pStyle w:val="34"/>
              <w:autoSpaceDE w:val="0"/>
              <w:autoSpaceDN w:val="0"/>
              <w:snapToGrid w:val="0"/>
              <w:spacing w:line="400" w:lineRule="exact"/>
              <w:jc w:val="center"/>
              <w:rPr>
                <w:rFonts w:ascii="仿宋" w:hAnsi="仿宋" w:eastAsia="仿宋" w:cs="宋体"/>
                <w:szCs w:val="21"/>
                <w:highlight w:val="none"/>
              </w:rPr>
            </w:pPr>
            <w:r>
              <w:rPr>
                <w:rFonts w:hint="eastAsia" w:ascii="仿宋" w:hAnsi="仿宋" w:eastAsia="仿宋" w:cs="宋体"/>
                <w:szCs w:val="21"/>
                <w:highlight w:val="none"/>
              </w:rPr>
              <w:t>10分</w:t>
            </w:r>
          </w:p>
        </w:tc>
        <w:tc>
          <w:tcPr>
            <w:tcW w:w="6851" w:type="dxa"/>
            <w:tcBorders>
              <w:top w:val="single" w:color="auto" w:sz="6" w:space="0"/>
              <w:left w:val="single" w:color="auto" w:sz="6" w:space="0"/>
              <w:bottom w:val="single" w:color="auto" w:sz="6" w:space="0"/>
              <w:right w:val="double" w:color="auto" w:sz="4" w:space="0"/>
            </w:tcBorders>
            <w:shd w:val="clear" w:color="auto" w:fill="auto"/>
            <w:vAlign w:val="center"/>
          </w:tcPr>
          <w:p w14:paraId="693ECA21">
            <w:pPr>
              <w:pStyle w:val="34"/>
              <w:autoSpaceDE w:val="0"/>
              <w:autoSpaceDN w:val="0"/>
              <w:snapToGrid w:val="0"/>
              <w:spacing w:line="320" w:lineRule="exact"/>
              <w:jc w:val="left"/>
              <w:rPr>
                <w:rFonts w:ascii="仿宋" w:hAnsi="仿宋" w:eastAsia="仿宋" w:cs="宋体"/>
                <w:szCs w:val="21"/>
                <w:highlight w:val="none"/>
              </w:rPr>
            </w:pPr>
            <w:r>
              <w:rPr>
                <w:rFonts w:hint="eastAsia" w:ascii="仿宋" w:hAnsi="仿宋" w:eastAsia="仿宋" w:cs="宋体"/>
                <w:szCs w:val="21"/>
                <w:highlight w:val="none"/>
              </w:rPr>
              <w:t>团队成员</w:t>
            </w:r>
            <w:r>
              <w:rPr>
                <w:rFonts w:hint="eastAsia" w:ascii="仿宋" w:hAnsi="仿宋" w:eastAsia="仿宋" w:cs="宋体"/>
                <w:szCs w:val="21"/>
                <w:highlight w:val="none"/>
                <w:lang w:val="en-US" w:eastAsia="zh-CN"/>
              </w:rPr>
              <w:t>4</w:t>
            </w:r>
            <w:r>
              <w:rPr>
                <w:rFonts w:hint="eastAsia" w:ascii="仿宋" w:hAnsi="仿宋" w:eastAsia="仿宋" w:cs="宋体"/>
                <w:szCs w:val="21"/>
                <w:highlight w:val="none"/>
              </w:rPr>
              <w:t>个厨师中，具有五级厨师证的计1分/个，四级厨师证的计2分/个，三级厨师证的计3分/个，二级厨师证的计4分/个，一级厨师证的计5分/个，最多计10分</w:t>
            </w:r>
            <w:r>
              <w:rPr>
                <w:rFonts w:hint="eastAsia" w:ascii="仿宋" w:hAnsi="仿宋" w:eastAsia="仿宋" w:cs="宋体"/>
                <w:szCs w:val="21"/>
                <w:highlight w:val="none"/>
                <w:lang w:eastAsia="zh-CN"/>
              </w:rPr>
              <w:t>，</w:t>
            </w:r>
            <w:r>
              <w:rPr>
                <w:rFonts w:hint="eastAsia" w:ascii="仿宋" w:hAnsi="仿宋" w:eastAsia="仿宋" w:cs="宋体"/>
                <w:szCs w:val="21"/>
                <w:highlight w:val="none"/>
              </w:rPr>
              <w:t>未</w:t>
            </w:r>
            <w:r>
              <w:rPr>
                <w:rFonts w:hint="eastAsia" w:ascii="仿宋" w:hAnsi="仿宋" w:eastAsia="仿宋" w:cs="宋体"/>
                <w:szCs w:val="21"/>
                <w:highlight w:val="none"/>
                <w:lang w:val="en-US" w:eastAsia="zh-CN"/>
              </w:rPr>
              <w:t>提供不计分。</w:t>
            </w:r>
            <w:r>
              <w:rPr>
                <w:rFonts w:hint="eastAsia" w:ascii="仿宋" w:hAnsi="仿宋" w:eastAsia="仿宋" w:cs="宋体"/>
                <w:szCs w:val="21"/>
                <w:highlight w:val="none"/>
              </w:rPr>
              <w:t>（提供证书复印件及由劳动保障部门出具的</w:t>
            </w:r>
            <w:r>
              <w:rPr>
                <w:rFonts w:hint="eastAsia" w:ascii="仿宋" w:hAnsi="仿宋" w:eastAsia="仿宋" w:cs="宋体"/>
                <w:szCs w:val="21"/>
                <w:highlight w:val="none"/>
                <w:lang w:val="en-US" w:eastAsia="zh-CN"/>
              </w:rPr>
              <w:t>2025年6月至2025年11月</w:t>
            </w:r>
            <w:r>
              <w:rPr>
                <w:rFonts w:hint="eastAsia" w:ascii="仿宋" w:hAnsi="仿宋" w:eastAsia="仿宋" w:cs="宋体"/>
                <w:szCs w:val="21"/>
                <w:highlight w:val="none"/>
              </w:rPr>
              <w:t>缴纳社保的证明，以上均加盖参选单位公章，否则不计分）</w:t>
            </w:r>
          </w:p>
        </w:tc>
      </w:tr>
      <w:tr w14:paraId="4ED016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762" w:hRule="atLeast"/>
        </w:trPr>
        <w:tc>
          <w:tcPr>
            <w:tcW w:w="642" w:type="dxa"/>
            <w:vMerge w:val="restart"/>
            <w:tcBorders>
              <w:left w:val="double" w:color="auto" w:sz="4" w:space="0"/>
              <w:right w:val="single" w:color="auto" w:sz="6" w:space="0"/>
            </w:tcBorders>
            <w:vAlign w:val="center"/>
          </w:tcPr>
          <w:p w14:paraId="56C4A76D">
            <w:pPr>
              <w:pStyle w:val="34"/>
              <w:autoSpaceDE w:val="0"/>
              <w:autoSpaceDN w:val="0"/>
              <w:snapToGrid w:val="0"/>
              <w:spacing w:before="240" w:line="560" w:lineRule="exact"/>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3</w:t>
            </w:r>
          </w:p>
        </w:tc>
        <w:tc>
          <w:tcPr>
            <w:tcW w:w="836" w:type="dxa"/>
            <w:vMerge w:val="restart"/>
            <w:tcBorders>
              <w:left w:val="single" w:color="auto" w:sz="6" w:space="0"/>
              <w:right w:val="single" w:color="auto" w:sz="6" w:space="0"/>
            </w:tcBorders>
            <w:vAlign w:val="center"/>
          </w:tcPr>
          <w:p w14:paraId="050F4EF7">
            <w:pPr>
              <w:pStyle w:val="34"/>
              <w:autoSpaceDE w:val="0"/>
              <w:autoSpaceDN w:val="0"/>
              <w:snapToGrid w:val="0"/>
              <w:spacing w:line="400" w:lineRule="exact"/>
              <w:jc w:val="distribute"/>
              <w:rPr>
                <w:rFonts w:ascii="仿宋" w:hAnsi="仿宋" w:eastAsia="仿宋" w:cs="宋体"/>
                <w:szCs w:val="21"/>
                <w:highlight w:val="none"/>
              </w:rPr>
            </w:pPr>
            <w:r>
              <w:rPr>
                <w:rFonts w:hint="eastAsia" w:ascii="仿宋" w:hAnsi="仿宋" w:eastAsia="仿宋" w:cs="宋体"/>
                <w:szCs w:val="21"/>
                <w:highlight w:val="none"/>
              </w:rPr>
              <w:t>商务部分</w:t>
            </w:r>
          </w:p>
          <w:p w14:paraId="32CEF690">
            <w:pPr>
              <w:pStyle w:val="34"/>
              <w:autoSpaceDE w:val="0"/>
              <w:autoSpaceDN w:val="0"/>
              <w:snapToGrid w:val="0"/>
              <w:spacing w:line="400" w:lineRule="exact"/>
              <w:jc w:val="distribute"/>
              <w:rPr>
                <w:rFonts w:ascii="仿宋" w:hAnsi="仿宋" w:eastAsia="仿宋" w:cs="宋体"/>
                <w:szCs w:val="21"/>
                <w:highlight w:val="none"/>
              </w:rPr>
            </w:pPr>
            <w:r>
              <w:rPr>
                <w:rFonts w:hint="eastAsia" w:ascii="仿宋" w:hAnsi="仿宋" w:eastAsia="仿宋" w:cs="宋体"/>
                <w:szCs w:val="21"/>
                <w:highlight w:val="none"/>
              </w:rPr>
              <w:t>（</w:t>
            </w:r>
            <w:r>
              <w:rPr>
                <w:rFonts w:hint="eastAsia" w:ascii="仿宋" w:hAnsi="仿宋" w:eastAsia="仿宋" w:cs="宋体"/>
                <w:szCs w:val="21"/>
                <w:highlight w:val="none"/>
                <w:lang w:val="en-US" w:eastAsia="zh-CN"/>
              </w:rPr>
              <w:t>5</w:t>
            </w:r>
            <w:r>
              <w:rPr>
                <w:rFonts w:hint="eastAsia" w:ascii="仿宋" w:hAnsi="仿宋" w:eastAsia="仿宋" w:cs="宋体"/>
                <w:szCs w:val="21"/>
                <w:highlight w:val="none"/>
              </w:rPr>
              <w:t>0分）</w:t>
            </w:r>
          </w:p>
        </w:tc>
        <w:tc>
          <w:tcPr>
            <w:tcW w:w="1082" w:type="dxa"/>
            <w:tcBorders>
              <w:top w:val="single" w:color="auto" w:sz="6" w:space="0"/>
              <w:left w:val="single" w:color="auto" w:sz="6" w:space="0"/>
              <w:right w:val="single" w:color="auto" w:sz="6" w:space="0"/>
            </w:tcBorders>
            <w:vAlign w:val="center"/>
          </w:tcPr>
          <w:p w14:paraId="787BBC78">
            <w:pPr>
              <w:pStyle w:val="34"/>
              <w:autoSpaceDE w:val="0"/>
              <w:autoSpaceDN w:val="0"/>
              <w:snapToGrid w:val="0"/>
              <w:spacing w:line="400" w:lineRule="exact"/>
              <w:jc w:val="center"/>
              <w:rPr>
                <w:rFonts w:ascii="仿宋" w:hAnsi="仿宋" w:eastAsia="仿宋" w:cs="宋体"/>
                <w:szCs w:val="21"/>
                <w:highlight w:val="none"/>
              </w:rPr>
            </w:pPr>
            <w:r>
              <w:rPr>
                <w:rFonts w:hint="eastAsia" w:ascii="仿宋" w:hAnsi="仿宋" w:eastAsia="仿宋" w:cs="宋体"/>
                <w:szCs w:val="21"/>
                <w:highlight w:val="none"/>
              </w:rPr>
              <w:t>同类</w:t>
            </w:r>
          </w:p>
          <w:p w14:paraId="1200199B">
            <w:pPr>
              <w:pStyle w:val="34"/>
              <w:autoSpaceDE w:val="0"/>
              <w:autoSpaceDN w:val="0"/>
              <w:snapToGrid w:val="0"/>
              <w:spacing w:line="400" w:lineRule="exact"/>
              <w:jc w:val="center"/>
              <w:rPr>
                <w:rFonts w:ascii="仿宋" w:hAnsi="仿宋" w:eastAsia="仿宋" w:cs="宋体"/>
                <w:szCs w:val="21"/>
                <w:highlight w:val="none"/>
                <w:lang w:val="zh-CN"/>
              </w:rPr>
            </w:pPr>
            <w:r>
              <w:rPr>
                <w:rFonts w:hint="eastAsia" w:ascii="仿宋" w:hAnsi="仿宋" w:eastAsia="仿宋" w:cs="宋体"/>
                <w:szCs w:val="21"/>
                <w:highlight w:val="none"/>
              </w:rPr>
              <w:t>项目业绩</w:t>
            </w:r>
          </w:p>
        </w:tc>
        <w:tc>
          <w:tcPr>
            <w:tcW w:w="842" w:type="dxa"/>
            <w:tcBorders>
              <w:top w:val="single" w:color="auto" w:sz="6" w:space="0"/>
              <w:left w:val="single" w:color="auto" w:sz="6" w:space="0"/>
              <w:bottom w:val="single" w:color="auto" w:sz="6" w:space="0"/>
              <w:right w:val="single" w:color="auto" w:sz="6" w:space="0"/>
            </w:tcBorders>
            <w:vAlign w:val="center"/>
          </w:tcPr>
          <w:p w14:paraId="2EB87735">
            <w:pPr>
              <w:pStyle w:val="34"/>
              <w:autoSpaceDE w:val="0"/>
              <w:autoSpaceDN w:val="0"/>
              <w:snapToGrid w:val="0"/>
              <w:spacing w:line="400" w:lineRule="exact"/>
              <w:jc w:val="center"/>
              <w:rPr>
                <w:rFonts w:ascii="仿宋" w:hAnsi="仿宋" w:eastAsia="仿宋" w:cs="宋体"/>
                <w:szCs w:val="21"/>
                <w:highlight w:val="none"/>
              </w:rPr>
            </w:pPr>
            <w:r>
              <w:rPr>
                <w:rFonts w:hint="eastAsia" w:ascii="仿宋" w:hAnsi="仿宋" w:eastAsia="仿宋" w:cs="宋体"/>
                <w:szCs w:val="21"/>
                <w:highlight w:val="none"/>
                <w:lang w:val="en-US" w:eastAsia="zh-CN"/>
              </w:rPr>
              <w:t>3</w:t>
            </w:r>
            <w:r>
              <w:rPr>
                <w:rFonts w:hint="eastAsia" w:ascii="仿宋" w:hAnsi="仿宋" w:eastAsia="仿宋" w:cs="宋体"/>
                <w:szCs w:val="21"/>
                <w:highlight w:val="none"/>
              </w:rPr>
              <w:t>0分</w:t>
            </w:r>
          </w:p>
        </w:tc>
        <w:tc>
          <w:tcPr>
            <w:tcW w:w="6851" w:type="dxa"/>
            <w:tcBorders>
              <w:top w:val="single" w:color="auto" w:sz="6" w:space="0"/>
              <w:left w:val="single" w:color="auto" w:sz="6" w:space="0"/>
              <w:bottom w:val="single" w:color="auto" w:sz="6" w:space="0"/>
              <w:right w:val="double" w:color="auto" w:sz="4" w:space="0"/>
            </w:tcBorders>
            <w:vAlign w:val="center"/>
          </w:tcPr>
          <w:p w14:paraId="30FF3B3F">
            <w:pPr>
              <w:spacing w:line="320" w:lineRule="exact"/>
              <w:rPr>
                <w:rFonts w:hint="eastAsia" w:ascii="仿宋" w:hAnsi="仿宋" w:eastAsia="仿宋" w:cs="宋体"/>
                <w:szCs w:val="21"/>
                <w:highlight w:val="none"/>
              </w:rPr>
            </w:pPr>
            <w:r>
              <w:rPr>
                <w:rFonts w:hint="eastAsia" w:ascii="仿宋" w:hAnsi="仿宋" w:eastAsia="仿宋" w:cs="宋体"/>
                <w:szCs w:val="21"/>
                <w:highlight w:val="none"/>
              </w:rPr>
              <w:t>参选单位提供202</w:t>
            </w:r>
            <w:r>
              <w:rPr>
                <w:rFonts w:hint="eastAsia" w:ascii="仿宋" w:hAnsi="仿宋" w:eastAsia="仿宋" w:cs="宋体"/>
                <w:szCs w:val="21"/>
                <w:highlight w:val="none"/>
                <w:lang w:val="en-US" w:eastAsia="zh-CN"/>
              </w:rPr>
              <w:t>2</w:t>
            </w:r>
            <w:r>
              <w:rPr>
                <w:rFonts w:hint="eastAsia" w:ascii="仿宋" w:hAnsi="仿宋" w:eastAsia="仿宋" w:cs="宋体"/>
                <w:szCs w:val="21"/>
                <w:highlight w:val="none"/>
              </w:rPr>
              <w:t>年11月</w:t>
            </w:r>
            <w:r>
              <w:rPr>
                <w:rFonts w:hint="eastAsia" w:ascii="仿宋" w:hAnsi="仿宋" w:eastAsia="仿宋" w:cs="宋体"/>
                <w:szCs w:val="21"/>
                <w:highlight w:val="none"/>
                <w:lang w:eastAsia="zh-CN"/>
              </w:rPr>
              <w:t>—</w:t>
            </w:r>
            <w:r>
              <w:rPr>
                <w:rFonts w:hint="eastAsia" w:ascii="仿宋" w:hAnsi="仿宋" w:eastAsia="仿宋" w:cs="宋体"/>
                <w:szCs w:val="21"/>
                <w:highlight w:val="none"/>
              </w:rPr>
              <w:t>202</w:t>
            </w:r>
            <w:r>
              <w:rPr>
                <w:rFonts w:hint="eastAsia" w:ascii="仿宋" w:hAnsi="仿宋" w:eastAsia="仿宋" w:cs="宋体"/>
                <w:szCs w:val="21"/>
                <w:highlight w:val="none"/>
                <w:lang w:val="en-US" w:eastAsia="zh-CN"/>
              </w:rPr>
              <w:t>5</w:t>
            </w:r>
            <w:r>
              <w:rPr>
                <w:rFonts w:hint="eastAsia" w:ascii="仿宋" w:hAnsi="仿宋" w:eastAsia="仿宋" w:cs="宋体"/>
                <w:szCs w:val="21"/>
                <w:highlight w:val="none"/>
              </w:rPr>
              <w:t>年11月具有中标金额叁拾陆万元</w:t>
            </w:r>
            <w:r>
              <w:rPr>
                <w:rFonts w:hint="eastAsia" w:ascii="仿宋" w:hAnsi="仿宋" w:eastAsia="仿宋" w:cs="宋体"/>
                <w:szCs w:val="21"/>
                <w:highlight w:val="none"/>
                <w:lang w:val="en-US" w:eastAsia="zh-CN"/>
              </w:rPr>
              <w:t>及</w:t>
            </w:r>
            <w:r>
              <w:rPr>
                <w:rFonts w:hint="eastAsia" w:ascii="仿宋" w:hAnsi="仿宋" w:eastAsia="仿宋" w:cs="宋体"/>
                <w:szCs w:val="21"/>
                <w:highlight w:val="none"/>
              </w:rPr>
              <w:t>以上的项目业绩计</w:t>
            </w:r>
            <w:r>
              <w:rPr>
                <w:rFonts w:hint="eastAsia" w:ascii="仿宋" w:hAnsi="仿宋" w:eastAsia="仿宋" w:cs="宋体"/>
                <w:szCs w:val="21"/>
                <w:highlight w:val="none"/>
                <w:lang w:val="en-US" w:eastAsia="zh-CN"/>
              </w:rPr>
              <w:t>10</w:t>
            </w:r>
            <w:r>
              <w:rPr>
                <w:rFonts w:hint="eastAsia" w:ascii="仿宋" w:hAnsi="仿宋" w:eastAsia="仿宋" w:cs="宋体"/>
                <w:szCs w:val="21"/>
                <w:highlight w:val="none"/>
              </w:rPr>
              <w:t>分</w:t>
            </w:r>
            <w:r>
              <w:rPr>
                <w:rFonts w:hint="eastAsia" w:ascii="仿宋" w:hAnsi="仿宋" w:eastAsia="仿宋" w:cs="宋体"/>
                <w:szCs w:val="21"/>
                <w:highlight w:val="none"/>
                <w:lang w:eastAsia="zh-CN"/>
              </w:rPr>
              <w:t>，</w:t>
            </w:r>
            <w:r>
              <w:rPr>
                <w:rFonts w:hint="eastAsia" w:ascii="仿宋" w:hAnsi="仿宋" w:eastAsia="仿宋" w:cs="宋体"/>
                <w:szCs w:val="21"/>
                <w:highlight w:val="none"/>
                <w:lang w:val="en-US" w:eastAsia="zh-CN"/>
              </w:rPr>
              <w:t>每增加一个计5分</w:t>
            </w:r>
            <w:r>
              <w:rPr>
                <w:rFonts w:hint="eastAsia" w:ascii="仿宋" w:hAnsi="仿宋" w:eastAsia="仿宋" w:cs="宋体"/>
                <w:szCs w:val="21"/>
                <w:highlight w:val="none"/>
              </w:rPr>
              <w:t>，最多计</w:t>
            </w:r>
            <w:r>
              <w:rPr>
                <w:rFonts w:hint="eastAsia" w:ascii="仿宋" w:hAnsi="仿宋" w:eastAsia="仿宋" w:cs="宋体"/>
                <w:szCs w:val="21"/>
                <w:highlight w:val="none"/>
                <w:lang w:val="en-US" w:eastAsia="zh-CN"/>
              </w:rPr>
              <w:t>3</w:t>
            </w:r>
            <w:r>
              <w:rPr>
                <w:rFonts w:hint="eastAsia" w:ascii="仿宋" w:hAnsi="仿宋" w:eastAsia="仿宋" w:cs="宋体"/>
                <w:szCs w:val="21"/>
                <w:highlight w:val="none"/>
              </w:rPr>
              <w:t>0分</w:t>
            </w:r>
            <w:r>
              <w:rPr>
                <w:rFonts w:hint="eastAsia" w:ascii="仿宋" w:hAnsi="仿宋" w:eastAsia="仿宋" w:cs="宋体"/>
                <w:szCs w:val="21"/>
                <w:highlight w:val="none"/>
                <w:lang w:eastAsia="zh-CN"/>
              </w:rPr>
              <w:t>，</w:t>
            </w:r>
            <w:r>
              <w:rPr>
                <w:rFonts w:hint="eastAsia" w:ascii="仿宋" w:hAnsi="仿宋" w:eastAsia="仿宋" w:cs="宋体"/>
                <w:szCs w:val="21"/>
                <w:highlight w:val="none"/>
              </w:rPr>
              <w:t>未</w:t>
            </w:r>
            <w:r>
              <w:rPr>
                <w:rFonts w:hint="eastAsia" w:ascii="仿宋" w:hAnsi="仿宋" w:eastAsia="仿宋" w:cs="宋体"/>
                <w:szCs w:val="21"/>
                <w:highlight w:val="none"/>
                <w:lang w:val="en-US" w:eastAsia="zh-CN"/>
              </w:rPr>
              <w:t>提供不计分</w:t>
            </w:r>
            <w:r>
              <w:rPr>
                <w:rFonts w:hint="eastAsia" w:ascii="仿宋" w:hAnsi="仿宋" w:eastAsia="仿宋" w:cs="宋体"/>
                <w:szCs w:val="21"/>
                <w:highlight w:val="none"/>
              </w:rPr>
              <w:t>。</w:t>
            </w:r>
          </w:p>
          <w:p w14:paraId="7107A125">
            <w:pPr>
              <w:spacing w:line="320" w:lineRule="exact"/>
              <w:rPr>
                <w:rFonts w:ascii="仿宋" w:hAnsi="仿宋" w:eastAsia="仿宋" w:cs="宋体"/>
                <w:szCs w:val="21"/>
                <w:highlight w:val="none"/>
              </w:rPr>
            </w:pPr>
            <w:r>
              <w:rPr>
                <w:rFonts w:hint="eastAsia" w:ascii="仿宋" w:hAnsi="仿宋" w:eastAsia="仿宋" w:cs="宋体"/>
                <w:szCs w:val="21"/>
                <w:highlight w:val="none"/>
              </w:rPr>
              <w:t>（以上项目业绩应为类似</w:t>
            </w:r>
            <w:r>
              <w:rPr>
                <w:rFonts w:hint="eastAsia" w:ascii="仿宋" w:hAnsi="仿宋" w:eastAsia="仿宋" w:cs="宋体"/>
                <w:szCs w:val="21"/>
                <w:highlight w:val="none"/>
                <w:lang w:val="en-US" w:eastAsia="zh-CN"/>
              </w:rPr>
              <w:t>党政机关、企事业单位、银行、医院、学校、工厂的</w:t>
            </w:r>
            <w:r>
              <w:rPr>
                <w:rFonts w:hint="eastAsia" w:ascii="仿宋" w:hAnsi="仿宋" w:eastAsia="仿宋" w:cs="宋体"/>
                <w:szCs w:val="21"/>
                <w:highlight w:val="none"/>
              </w:rPr>
              <w:t>食堂劳务承包</w:t>
            </w:r>
            <w:r>
              <w:rPr>
                <w:rFonts w:hint="eastAsia" w:ascii="仿宋" w:hAnsi="仿宋" w:eastAsia="仿宋" w:cs="宋体"/>
                <w:szCs w:val="21"/>
                <w:highlight w:val="none"/>
                <w:lang w:val="en-US" w:eastAsia="zh-CN"/>
              </w:rPr>
              <w:t>业绩</w:t>
            </w:r>
            <w:r>
              <w:rPr>
                <w:rFonts w:hint="eastAsia" w:ascii="仿宋" w:hAnsi="仿宋" w:eastAsia="仿宋" w:cs="宋体"/>
                <w:szCs w:val="21"/>
                <w:highlight w:val="none"/>
              </w:rPr>
              <w:t>，参选人应独立完成，并提供完整版合同复印件加盖单位公章，否则不计分）</w:t>
            </w:r>
          </w:p>
        </w:tc>
      </w:tr>
      <w:tr w14:paraId="3E05E1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31" w:hRule="atLeast"/>
        </w:trPr>
        <w:tc>
          <w:tcPr>
            <w:tcW w:w="642" w:type="dxa"/>
            <w:vMerge w:val="continue"/>
            <w:tcBorders>
              <w:left w:val="double" w:color="auto" w:sz="4" w:space="0"/>
              <w:right w:val="single" w:color="auto" w:sz="6" w:space="0"/>
            </w:tcBorders>
            <w:vAlign w:val="center"/>
          </w:tcPr>
          <w:p w14:paraId="6CF97D47">
            <w:pPr>
              <w:widowControl/>
              <w:autoSpaceDE w:val="0"/>
              <w:autoSpaceDN w:val="0"/>
              <w:spacing w:before="240" w:line="560" w:lineRule="exact"/>
              <w:rPr>
                <w:rFonts w:ascii="宋体" w:hAnsi="宋体" w:cs="宋体"/>
                <w:szCs w:val="21"/>
                <w:highlight w:val="none"/>
              </w:rPr>
            </w:pPr>
          </w:p>
        </w:tc>
        <w:tc>
          <w:tcPr>
            <w:tcW w:w="836" w:type="dxa"/>
            <w:vMerge w:val="continue"/>
            <w:tcBorders>
              <w:left w:val="single" w:color="auto" w:sz="6" w:space="0"/>
              <w:right w:val="single" w:color="auto" w:sz="6" w:space="0"/>
            </w:tcBorders>
            <w:vAlign w:val="center"/>
          </w:tcPr>
          <w:p w14:paraId="68C8D3F5">
            <w:pPr>
              <w:widowControl/>
              <w:autoSpaceDE w:val="0"/>
              <w:autoSpaceDN w:val="0"/>
              <w:adjustRightInd w:val="0"/>
              <w:snapToGrid w:val="0"/>
              <w:spacing w:line="400" w:lineRule="exact"/>
              <w:jc w:val="distribute"/>
              <w:rPr>
                <w:rFonts w:ascii="仿宋" w:hAnsi="仿宋" w:eastAsia="仿宋" w:cs="宋体"/>
                <w:szCs w:val="21"/>
                <w:highlight w:val="none"/>
              </w:rPr>
            </w:pPr>
          </w:p>
        </w:tc>
        <w:tc>
          <w:tcPr>
            <w:tcW w:w="1082" w:type="dxa"/>
            <w:tcBorders>
              <w:top w:val="single" w:color="auto" w:sz="4" w:space="0"/>
              <w:left w:val="single" w:color="auto" w:sz="6" w:space="0"/>
              <w:right w:val="single" w:color="auto" w:sz="6" w:space="0"/>
            </w:tcBorders>
            <w:vAlign w:val="center"/>
          </w:tcPr>
          <w:p w14:paraId="38CA9F6D">
            <w:pPr>
              <w:autoSpaceDE w:val="0"/>
              <w:autoSpaceDN w:val="0"/>
              <w:spacing w:line="400" w:lineRule="exact"/>
              <w:jc w:val="center"/>
              <w:rPr>
                <w:rFonts w:hint="eastAsia" w:ascii="仿宋" w:hAnsi="仿宋" w:eastAsia="仿宋" w:cs="仿宋"/>
                <w:szCs w:val="21"/>
                <w:highlight w:val="none"/>
              </w:rPr>
            </w:pPr>
            <w:r>
              <w:rPr>
                <w:rFonts w:hint="eastAsia" w:ascii="仿宋" w:hAnsi="仿宋" w:eastAsia="仿宋" w:cs="仿宋"/>
                <w:color w:val="auto"/>
                <w:sz w:val="21"/>
                <w:szCs w:val="21"/>
                <w:highlight w:val="none"/>
                <w:lang w:eastAsia="zh-CN"/>
              </w:rPr>
              <w:t>合理化建议</w:t>
            </w:r>
          </w:p>
        </w:tc>
        <w:tc>
          <w:tcPr>
            <w:tcW w:w="842" w:type="dxa"/>
            <w:tcBorders>
              <w:top w:val="single" w:color="auto" w:sz="6" w:space="0"/>
              <w:left w:val="single" w:color="auto" w:sz="6" w:space="0"/>
              <w:right w:val="single" w:color="auto" w:sz="6" w:space="0"/>
            </w:tcBorders>
            <w:vAlign w:val="center"/>
          </w:tcPr>
          <w:p w14:paraId="01A42206">
            <w:pPr>
              <w:autoSpaceDE w:val="0"/>
              <w:autoSpaceDN w:val="0"/>
              <w:spacing w:line="400" w:lineRule="exact"/>
              <w:jc w:val="center"/>
              <w:rPr>
                <w:rFonts w:ascii="仿宋" w:hAnsi="仿宋" w:eastAsia="仿宋" w:cs="宋体"/>
                <w:szCs w:val="21"/>
                <w:highlight w:val="none"/>
              </w:rPr>
            </w:pPr>
            <w:r>
              <w:rPr>
                <w:rFonts w:hint="eastAsia" w:ascii="仿宋" w:hAnsi="仿宋" w:eastAsia="仿宋" w:cs="宋体"/>
                <w:szCs w:val="21"/>
                <w:highlight w:val="none"/>
              </w:rPr>
              <w:t>10分</w:t>
            </w:r>
          </w:p>
        </w:tc>
        <w:tc>
          <w:tcPr>
            <w:tcW w:w="6851" w:type="dxa"/>
            <w:tcBorders>
              <w:top w:val="single" w:color="auto" w:sz="6" w:space="0"/>
              <w:left w:val="single" w:color="auto" w:sz="6" w:space="0"/>
              <w:bottom w:val="single" w:color="auto" w:sz="6" w:space="0"/>
              <w:right w:val="double" w:color="auto" w:sz="4" w:space="0"/>
            </w:tcBorders>
            <w:vAlign w:val="center"/>
          </w:tcPr>
          <w:p w14:paraId="38BDBCBB">
            <w:pPr>
              <w:spacing w:line="320" w:lineRule="exac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在满足</w:t>
            </w:r>
            <w:r>
              <w:rPr>
                <w:rFonts w:hint="eastAsia" w:ascii="仿宋" w:hAnsi="仿宋" w:eastAsia="仿宋" w:cs="仿宋"/>
                <w:color w:val="auto"/>
                <w:sz w:val="21"/>
                <w:szCs w:val="21"/>
                <w:highlight w:val="none"/>
                <w:lang w:val="en-US" w:eastAsia="zh-CN" w:bidi="ar-SA"/>
              </w:rPr>
              <w:t>本项目需求</w:t>
            </w:r>
            <w:r>
              <w:rPr>
                <w:rFonts w:hint="eastAsia" w:ascii="仿宋" w:hAnsi="仿宋" w:eastAsia="仿宋" w:cs="仿宋"/>
                <w:color w:val="auto"/>
                <w:sz w:val="21"/>
                <w:szCs w:val="21"/>
                <w:highlight w:val="none"/>
                <w:lang w:val="zh-CN" w:eastAsia="zh-CN" w:bidi="ar-SA"/>
              </w:rPr>
              <w:t>的前提下，建议书内容应包括但不限于：</w:t>
            </w:r>
            <w:r>
              <w:rPr>
                <w:rFonts w:hint="eastAsia" w:ascii="仿宋" w:hAnsi="仿宋" w:eastAsia="仿宋" w:cs="仿宋"/>
                <w:color w:val="auto"/>
                <w:sz w:val="21"/>
                <w:szCs w:val="21"/>
                <w:highlight w:val="none"/>
                <w:lang w:val="en-US" w:eastAsia="zh-CN" w:bidi="ar-SA"/>
              </w:rPr>
              <w:t>参选人</w:t>
            </w:r>
            <w:r>
              <w:rPr>
                <w:rFonts w:hint="eastAsia" w:ascii="仿宋" w:hAnsi="仿宋" w:eastAsia="仿宋" w:cs="仿宋"/>
                <w:color w:val="auto"/>
                <w:sz w:val="21"/>
                <w:szCs w:val="21"/>
                <w:highlight w:val="none"/>
                <w:lang w:val="zh-CN" w:eastAsia="zh-CN" w:bidi="ar-SA"/>
              </w:rPr>
              <w:t>对本项目服务对象、</w:t>
            </w:r>
            <w:r>
              <w:rPr>
                <w:rFonts w:hint="eastAsia" w:ascii="仿宋" w:hAnsi="仿宋" w:eastAsia="仿宋" w:cs="仿宋"/>
                <w:color w:val="auto"/>
                <w:sz w:val="21"/>
                <w:szCs w:val="21"/>
                <w:highlight w:val="none"/>
                <w:lang w:val="en-US" w:eastAsia="zh-CN" w:bidi="ar-SA"/>
              </w:rPr>
              <w:t>服务标准</w:t>
            </w:r>
            <w:r>
              <w:rPr>
                <w:rFonts w:hint="eastAsia" w:ascii="仿宋" w:hAnsi="仿宋" w:eastAsia="仿宋" w:cs="仿宋"/>
                <w:color w:val="auto"/>
                <w:sz w:val="21"/>
                <w:szCs w:val="21"/>
                <w:highlight w:val="none"/>
                <w:lang w:val="zh-CN" w:eastAsia="zh-CN" w:bidi="ar-SA"/>
              </w:rPr>
              <w:t>和服务内容的总体理解，针对</w:t>
            </w:r>
            <w:r>
              <w:rPr>
                <w:rFonts w:hint="eastAsia" w:ascii="仿宋" w:hAnsi="仿宋" w:eastAsia="仿宋" w:cs="仿宋"/>
                <w:color w:val="auto"/>
                <w:sz w:val="21"/>
                <w:szCs w:val="21"/>
                <w:highlight w:val="none"/>
                <w:lang w:val="en-US" w:eastAsia="zh-CN" w:bidi="ar-SA"/>
              </w:rPr>
              <w:t>日常用餐服务</w:t>
            </w:r>
            <w:r>
              <w:rPr>
                <w:rFonts w:hint="eastAsia" w:ascii="仿宋" w:hAnsi="仿宋" w:eastAsia="仿宋" w:cs="仿宋"/>
                <w:color w:val="auto"/>
                <w:sz w:val="21"/>
                <w:szCs w:val="21"/>
                <w:highlight w:val="none"/>
                <w:lang w:val="zh-CN" w:eastAsia="zh-CN" w:bidi="ar-SA"/>
              </w:rPr>
              <w:t>、会务及接待</w:t>
            </w:r>
            <w:r>
              <w:rPr>
                <w:rFonts w:hint="eastAsia" w:ascii="仿宋" w:hAnsi="仿宋" w:eastAsia="仿宋" w:cs="仿宋"/>
                <w:color w:val="auto"/>
                <w:sz w:val="21"/>
                <w:szCs w:val="21"/>
                <w:highlight w:val="none"/>
                <w:lang w:val="en-US" w:eastAsia="zh-CN" w:bidi="ar-SA"/>
              </w:rPr>
              <w:t>用餐保障</w:t>
            </w:r>
            <w:r>
              <w:rPr>
                <w:rFonts w:hint="eastAsia" w:ascii="仿宋" w:hAnsi="仿宋" w:eastAsia="仿宋" w:cs="仿宋"/>
                <w:color w:val="auto"/>
                <w:sz w:val="21"/>
                <w:szCs w:val="21"/>
                <w:highlight w:val="none"/>
                <w:lang w:val="zh-CN" w:eastAsia="zh-CN" w:bidi="ar-SA"/>
              </w:rPr>
              <w:t>、环境保洁服务以及其他临时性常规服务等方面提出的建议和方案等内容。</w:t>
            </w:r>
          </w:p>
          <w:p w14:paraId="1CA71936">
            <w:pPr>
              <w:autoSpaceDE w:val="0"/>
              <w:autoSpaceDN w:val="0"/>
              <w:spacing w:line="320" w:lineRule="exact"/>
              <w:rPr>
                <w:rFonts w:hint="eastAsia" w:ascii="仿宋" w:hAnsi="仿宋" w:eastAsia="仿宋" w:cs="仿宋"/>
                <w:szCs w:val="21"/>
                <w:highlight w:val="none"/>
              </w:rPr>
            </w:pPr>
            <w:r>
              <w:rPr>
                <w:rFonts w:hint="eastAsia" w:ascii="仿宋" w:hAnsi="仿宋" w:eastAsia="仿宋" w:cs="仿宋"/>
                <w:color w:val="auto"/>
                <w:sz w:val="21"/>
                <w:szCs w:val="21"/>
                <w:highlight w:val="none"/>
                <w:lang w:val="zh-CN" w:eastAsia="zh-CN" w:bidi="ar-SA"/>
              </w:rPr>
              <w:t>建议内容</w:t>
            </w:r>
            <w:r>
              <w:rPr>
                <w:rFonts w:hint="eastAsia" w:ascii="仿宋" w:hAnsi="仿宋" w:eastAsia="仿宋" w:cs="仿宋"/>
                <w:color w:val="auto"/>
                <w:sz w:val="21"/>
                <w:szCs w:val="21"/>
                <w:highlight w:val="none"/>
                <w:lang w:val="en-US" w:eastAsia="zh-CN" w:bidi="ar-SA"/>
              </w:rPr>
              <w:t>完善、合理、针对性强的计10分；</w:t>
            </w:r>
            <w:r>
              <w:rPr>
                <w:rFonts w:hint="eastAsia" w:ascii="仿宋" w:hAnsi="仿宋" w:eastAsia="仿宋" w:cs="仿宋"/>
                <w:color w:val="auto"/>
                <w:sz w:val="21"/>
                <w:szCs w:val="21"/>
                <w:highlight w:val="none"/>
                <w:lang w:val="zh-CN" w:eastAsia="zh-CN" w:bidi="ar-SA"/>
              </w:rPr>
              <w:t>建议内容</w:t>
            </w:r>
            <w:r>
              <w:rPr>
                <w:rFonts w:hint="eastAsia" w:ascii="仿宋" w:hAnsi="仿宋" w:eastAsia="仿宋" w:cs="仿宋"/>
                <w:color w:val="auto"/>
                <w:sz w:val="21"/>
                <w:szCs w:val="21"/>
                <w:highlight w:val="none"/>
                <w:lang w:val="en-US" w:eastAsia="zh-CN" w:bidi="ar-SA"/>
              </w:rPr>
              <w:t>较完善、较合理、针对性较强的计5分；</w:t>
            </w:r>
            <w:r>
              <w:rPr>
                <w:rFonts w:hint="eastAsia" w:ascii="仿宋" w:hAnsi="仿宋" w:eastAsia="仿宋" w:cs="仿宋"/>
                <w:color w:val="auto"/>
                <w:sz w:val="21"/>
                <w:szCs w:val="21"/>
                <w:highlight w:val="none"/>
                <w:lang w:val="zh-CN" w:eastAsia="zh-CN" w:bidi="ar-SA"/>
              </w:rPr>
              <w:t>建议内容</w:t>
            </w:r>
            <w:r>
              <w:rPr>
                <w:rFonts w:hint="eastAsia" w:ascii="仿宋" w:hAnsi="仿宋" w:eastAsia="仿宋" w:cs="仿宋"/>
                <w:color w:val="auto"/>
                <w:sz w:val="21"/>
                <w:szCs w:val="21"/>
                <w:highlight w:val="none"/>
                <w:lang w:val="en-US" w:eastAsia="zh-CN" w:bidi="ar-SA"/>
              </w:rPr>
              <w:t>欠完善、欠合理、针对性差的计1分。</w:t>
            </w:r>
            <w:r>
              <w:rPr>
                <w:rFonts w:hint="eastAsia" w:ascii="仿宋" w:hAnsi="仿宋" w:eastAsia="仿宋" w:cs="宋体"/>
                <w:szCs w:val="21"/>
                <w:highlight w:val="none"/>
              </w:rPr>
              <w:t>未</w:t>
            </w:r>
            <w:r>
              <w:rPr>
                <w:rFonts w:hint="eastAsia" w:ascii="仿宋" w:hAnsi="仿宋" w:eastAsia="仿宋" w:cs="仿宋"/>
                <w:color w:val="auto"/>
                <w:sz w:val="21"/>
                <w:szCs w:val="21"/>
                <w:highlight w:val="none"/>
                <w:lang w:val="en-US" w:eastAsia="zh-CN" w:bidi="ar-SA"/>
              </w:rPr>
              <w:t>提供不计分。</w:t>
            </w:r>
          </w:p>
        </w:tc>
      </w:tr>
      <w:tr w14:paraId="5C31BA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31" w:hRule="atLeast"/>
        </w:trPr>
        <w:tc>
          <w:tcPr>
            <w:tcW w:w="642" w:type="dxa"/>
            <w:vMerge w:val="continue"/>
            <w:tcBorders>
              <w:left w:val="double" w:color="auto" w:sz="4" w:space="0"/>
              <w:bottom w:val="single" w:color="auto" w:sz="6" w:space="0"/>
              <w:right w:val="single" w:color="auto" w:sz="6" w:space="0"/>
            </w:tcBorders>
            <w:vAlign w:val="center"/>
          </w:tcPr>
          <w:p w14:paraId="7FE8E94C">
            <w:pPr>
              <w:widowControl/>
              <w:autoSpaceDE w:val="0"/>
              <w:autoSpaceDN w:val="0"/>
              <w:spacing w:before="240" w:line="560" w:lineRule="exact"/>
              <w:rPr>
                <w:rFonts w:ascii="宋体" w:hAnsi="宋体" w:cs="宋体"/>
                <w:szCs w:val="21"/>
                <w:highlight w:val="none"/>
              </w:rPr>
            </w:pPr>
          </w:p>
        </w:tc>
        <w:tc>
          <w:tcPr>
            <w:tcW w:w="836" w:type="dxa"/>
            <w:vMerge w:val="continue"/>
            <w:tcBorders>
              <w:left w:val="single" w:color="auto" w:sz="6" w:space="0"/>
              <w:right w:val="single" w:color="auto" w:sz="6" w:space="0"/>
            </w:tcBorders>
            <w:vAlign w:val="center"/>
          </w:tcPr>
          <w:p w14:paraId="5CA5EFA0">
            <w:pPr>
              <w:widowControl/>
              <w:autoSpaceDE w:val="0"/>
              <w:autoSpaceDN w:val="0"/>
              <w:adjustRightInd w:val="0"/>
              <w:snapToGrid w:val="0"/>
              <w:spacing w:line="400" w:lineRule="exact"/>
              <w:jc w:val="distribute"/>
              <w:rPr>
                <w:rFonts w:ascii="仿宋" w:hAnsi="仿宋" w:eastAsia="仿宋" w:cs="宋体"/>
                <w:szCs w:val="21"/>
                <w:highlight w:val="none"/>
              </w:rPr>
            </w:pPr>
          </w:p>
        </w:tc>
        <w:tc>
          <w:tcPr>
            <w:tcW w:w="1082" w:type="dxa"/>
            <w:tcBorders>
              <w:top w:val="single" w:color="auto" w:sz="4" w:space="0"/>
              <w:left w:val="single" w:color="auto" w:sz="6" w:space="0"/>
              <w:right w:val="single" w:color="auto" w:sz="6" w:space="0"/>
            </w:tcBorders>
            <w:vAlign w:val="center"/>
          </w:tcPr>
          <w:p w14:paraId="1B2FC12F">
            <w:pPr>
              <w:autoSpaceDE w:val="0"/>
              <w:autoSpaceDN w:val="0"/>
              <w:spacing w:line="400" w:lineRule="exact"/>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餐饮服务质量</w:t>
            </w:r>
          </w:p>
        </w:tc>
        <w:tc>
          <w:tcPr>
            <w:tcW w:w="842" w:type="dxa"/>
            <w:tcBorders>
              <w:top w:val="single" w:color="auto" w:sz="6" w:space="0"/>
              <w:left w:val="single" w:color="auto" w:sz="6" w:space="0"/>
              <w:right w:val="single" w:color="auto" w:sz="6" w:space="0"/>
            </w:tcBorders>
            <w:vAlign w:val="center"/>
          </w:tcPr>
          <w:p w14:paraId="795D0A29">
            <w:pPr>
              <w:autoSpaceDE w:val="0"/>
              <w:autoSpaceDN w:val="0"/>
              <w:spacing w:line="400" w:lineRule="exact"/>
              <w:jc w:val="center"/>
              <w:rPr>
                <w:rFonts w:hint="default" w:ascii="仿宋" w:hAnsi="仿宋" w:eastAsia="仿宋" w:cs="宋体"/>
                <w:szCs w:val="21"/>
                <w:highlight w:val="none"/>
                <w:lang w:val="en-US" w:eastAsia="zh-CN"/>
              </w:rPr>
            </w:pPr>
            <w:r>
              <w:rPr>
                <w:rFonts w:hint="eastAsia" w:ascii="仿宋" w:hAnsi="仿宋" w:eastAsia="仿宋" w:cs="宋体"/>
                <w:szCs w:val="21"/>
                <w:highlight w:val="none"/>
                <w:lang w:val="en-US" w:eastAsia="zh-CN"/>
              </w:rPr>
              <w:t>10分</w:t>
            </w:r>
          </w:p>
        </w:tc>
        <w:tc>
          <w:tcPr>
            <w:tcW w:w="6851" w:type="dxa"/>
            <w:tcBorders>
              <w:top w:val="single" w:color="auto" w:sz="6" w:space="0"/>
              <w:left w:val="single" w:color="auto" w:sz="6" w:space="0"/>
              <w:bottom w:val="single" w:color="auto" w:sz="6" w:space="0"/>
              <w:right w:val="double" w:color="auto" w:sz="4" w:space="0"/>
            </w:tcBorders>
            <w:vAlign w:val="center"/>
          </w:tcPr>
          <w:p w14:paraId="420B3593">
            <w:pPr>
              <w:numPr>
                <w:ilvl w:val="0"/>
                <w:numId w:val="1"/>
              </w:numPr>
              <w:autoSpaceDE w:val="0"/>
              <w:autoSpaceDN w:val="0"/>
              <w:spacing w:line="320" w:lineRule="exact"/>
              <w:rPr>
                <w:rFonts w:hint="default" w:ascii="仿宋" w:hAnsi="仿宋" w:eastAsia="仿宋" w:cs="仿宋"/>
                <w:highlight w:val="none"/>
                <w:lang w:val="en-US" w:eastAsia="zh-CN"/>
              </w:rPr>
            </w:pPr>
            <w:r>
              <w:rPr>
                <w:rFonts w:hint="eastAsia" w:ascii="仿宋" w:hAnsi="仿宋" w:eastAsia="仿宋" w:cs="仿宋"/>
                <w:highlight w:val="none"/>
              </w:rPr>
              <w:t xml:space="preserve">菜谱设计与营养搭配 </w:t>
            </w:r>
            <w:r>
              <w:rPr>
                <w:rFonts w:hint="eastAsia" w:ascii="仿宋" w:hAnsi="仿宋" w:eastAsia="仿宋" w:cs="仿宋"/>
                <w:highlight w:val="none"/>
                <w:lang w:eastAsia="zh-CN"/>
              </w:rPr>
              <w:t>（5</w:t>
            </w:r>
            <w:r>
              <w:rPr>
                <w:rFonts w:hint="eastAsia" w:ascii="仿宋" w:hAnsi="仿宋" w:eastAsia="仿宋" w:cs="仿宋"/>
                <w:highlight w:val="none"/>
              </w:rPr>
              <w:t>分</w:t>
            </w:r>
            <w:r>
              <w:rPr>
                <w:rFonts w:hint="eastAsia" w:ascii="仿宋" w:hAnsi="仿宋" w:eastAsia="仿宋" w:cs="仿宋"/>
                <w:highlight w:val="none"/>
                <w:lang w:eastAsia="zh-CN"/>
              </w:rPr>
              <w:t>）</w:t>
            </w:r>
            <w:r>
              <w:rPr>
                <w:rFonts w:hint="eastAsia" w:ascii="仿宋" w:hAnsi="仿宋" w:eastAsia="仿宋" w:cs="仿宋"/>
                <w:highlight w:val="none"/>
              </w:rPr>
              <w:t>：能提供周期菜谱样例，注重荤素搭配、营养均衡、口味多样化，并能根据季节、反馈调整。优秀</w:t>
            </w:r>
            <w:r>
              <w:rPr>
                <w:rFonts w:hint="eastAsia" w:ascii="仿宋" w:hAnsi="仿宋" w:eastAsia="仿宋" w:cs="仿宋"/>
                <w:highlight w:val="none"/>
                <w:lang w:eastAsia="zh-CN"/>
              </w:rPr>
              <w:t>4—</w:t>
            </w:r>
            <w:r>
              <w:rPr>
                <w:rFonts w:hint="eastAsia" w:ascii="仿宋" w:hAnsi="仿宋" w:eastAsia="仿宋" w:cs="仿宋"/>
                <w:highlight w:val="none"/>
                <w:lang w:val="en-US" w:eastAsia="zh-CN"/>
              </w:rPr>
              <w:t>5</w:t>
            </w:r>
            <w:r>
              <w:rPr>
                <w:rFonts w:hint="eastAsia" w:ascii="仿宋" w:hAnsi="仿宋" w:eastAsia="仿宋" w:cs="仿宋"/>
                <w:highlight w:val="none"/>
              </w:rPr>
              <w:t>分，良好</w:t>
            </w:r>
            <w:r>
              <w:rPr>
                <w:rFonts w:hint="eastAsia" w:ascii="仿宋" w:hAnsi="仿宋" w:eastAsia="仿宋" w:cs="仿宋"/>
                <w:highlight w:val="none"/>
                <w:lang w:eastAsia="zh-CN"/>
              </w:rPr>
              <w:t>2—</w:t>
            </w:r>
            <w:r>
              <w:rPr>
                <w:rFonts w:hint="eastAsia" w:ascii="仿宋" w:hAnsi="仿宋" w:eastAsia="仿宋" w:cs="仿宋"/>
                <w:highlight w:val="none"/>
                <w:lang w:val="en-US" w:eastAsia="zh-CN"/>
              </w:rPr>
              <w:t>3</w:t>
            </w:r>
            <w:r>
              <w:rPr>
                <w:rFonts w:hint="eastAsia" w:ascii="仿宋" w:hAnsi="仿宋" w:eastAsia="仿宋" w:cs="仿宋"/>
                <w:highlight w:val="none"/>
              </w:rPr>
              <w:t>分，一般1分。</w:t>
            </w:r>
            <w:r>
              <w:rPr>
                <w:rFonts w:hint="eastAsia" w:ascii="仿宋" w:hAnsi="仿宋" w:eastAsia="仿宋" w:cs="仿宋"/>
                <w:highlight w:val="none"/>
              </w:rPr>
              <w:br w:type="textWrapping"/>
            </w:r>
            <w:r>
              <w:rPr>
                <w:rFonts w:hint="eastAsia" w:ascii="仿宋" w:hAnsi="仿宋" w:eastAsia="仿宋" w:cs="仿宋"/>
                <w:highlight w:val="none"/>
              </w:rPr>
              <w:t xml:space="preserve">2. 服务质量标准 </w:t>
            </w:r>
            <w:r>
              <w:rPr>
                <w:rFonts w:hint="eastAsia" w:ascii="仿宋" w:hAnsi="仿宋" w:eastAsia="仿宋" w:cs="仿宋"/>
                <w:highlight w:val="none"/>
                <w:lang w:eastAsia="zh-CN"/>
              </w:rPr>
              <w:t>（</w:t>
            </w:r>
            <w:r>
              <w:rPr>
                <w:rFonts w:hint="eastAsia" w:ascii="仿宋" w:hAnsi="仿宋" w:eastAsia="仿宋" w:cs="仿宋"/>
                <w:highlight w:val="none"/>
              </w:rPr>
              <w:t>3分</w:t>
            </w:r>
            <w:r>
              <w:rPr>
                <w:rFonts w:hint="eastAsia" w:ascii="仿宋" w:hAnsi="仿宋" w:eastAsia="仿宋" w:cs="仿宋"/>
                <w:highlight w:val="none"/>
                <w:lang w:eastAsia="zh-CN"/>
              </w:rPr>
              <w:t>）</w:t>
            </w:r>
            <w:r>
              <w:rPr>
                <w:rFonts w:hint="eastAsia" w:ascii="仿宋" w:hAnsi="仿宋" w:eastAsia="仿宋" w:cs="仿宋"/>
                <w:highlight w:val="none"/>
              </w:rPr>
              <w:t>：对窗口服务速度、卫生清洁、文明用语等有明确标准。优秀3分，良好2分，一般1分。</w:t>
            </w:r>
            <w:r>
              <w:rPr>
                <w:rFonts w:hint="eastAsia" w:ascii="仿宋" w:hAnsi="仿宋" w:eastAsia="仿宋" w:cs="仿宋"/>
                <w:highlight w:val="none"/>
              </w:rPr>
              <w:br w:type="textWrapping"/>
            </w:r>
            <w:r>
              <w:rPr>
                <w:rFonts w:hint="eastAsia" w:ascii="仿宋" w:hAnsi="仿宋" w:eastAsia="仿宋" w:cs="仿宋"/>
                <w:highlight w:val="none"/>
              </w:rPr>
              <w:t xml:space="preserve">3. 满意度提升措施 </w:t>
            </w:r>
            <w:r>
              <w:rPr>
                <w:rFonts w:hint="eastAsia" w:ascii="仿宋" w:hAnsi="仿宋" w:eastAsia="仿宋" w:cs="仿宋"/>
                <w:highlight w:val="none"/>
                <w:lang w:eastAsia="zh-CN"/>
              </w:rPr>
              <w:t>（2</w:t>
            </w:r>
            <w:r>
              <w:rPr>
                <w:rFonts w:hint="eastAsia" w:ascii="仿宋" w:hAnsi="仿宋" w:eastAsia="仿宋" w:cs="仿宋"/>
                <w:highlight w:val="none"/>
              </w:rPr>
              <w:t>分</w:t>
            </w:r>
            <w:r>
              <w:rPr>
                <w:rFonts w:hint="eastAsia" w:ascii="仿宋" w:hAnsi="仿宋" w:eastAsia="仿宋" w:cs="仿宋"/>
                <w:highlight w:val="none"/>
                <w:lang w:eastAsia="zh-CN"/>
              </w:rPr>
              <w:t>）</w:t>
            </w:r>
            <w:r>
              <w:rPr>
                <w:rFonts w:hint="eastAsia" w:ascii="仿宋" w:hAnsi="仿宋" w:eastAsia="仿宋" w:cs="仿宋"/>
                <w:highlight w:val="none"/>
              </w:rPr>
              <w:t>：有设立意见箱、定期满意度调查等具体措施。优秀</w:t>
            </w:r>
            <w:r>
              <w:rPr>
                <w:rFonts w:hint="eastAsia" w:ascii="仿宋" w:hAnsi="仿宋" w:eastAsia="仿宋" w:cs="仿宋"/>
                <w:highlight w:val="none"/>
                <w:lang w:eastAsia="zh-CN"/>
              </w:rPr>
              <w:t>2</w:t>
            </w:r>
            <w:r>
              <w:rPr>
                <w:rFonts w:hint="eastAsia" w:ascii="仿宋" w:hAnsi="仿宋" w:eastAsia="仿宋" w:cs="仿宋"/>
                <w:highlight w:val="none"/>
              </w:rPr>
              <w:t>分，良好</w:t>
            </w:r>
            <w:r>
              <w:rPr>
                <w:rFonts w:hint="eastAsia" w:ascii="仿宋" w:hAnsi="仿宋" w:eastAsia="仿宋" w:cs="仿宋"/>
                <w:highlight w:val="none"/>
                <w:lang w:eastAsia="zh-CN"/>
              </w:rPr>
              <w:t>1</w:t>
            </w:r>
            <w:r>
              <w:rPr>
                <w:rFonts w:hint="eastAsia" w:ascii="仿宋" w:hAnsi="仿宋" w:eastAsia="仿宋" w:cs="仿宋"/>
                <w:highlight w:val="none"/>
              </w:rPr>
              <w:t>分，一般</w:t>
            </w:r>
            <w:r>
              <w:rPr>
                <w:rFonts w:hint="eastAsia" w:ascii="仿宋" w:hAnsi="仿宋" w:eastAsia="仿宋" w:cs="仿宋"/>
                <w:highlight w:val="none"/>
                <w:lang w:val="en-US" w:eastAsia="zh-CN"/>
              </w:rPr>
              <w:t>不计</w:t>
            </w:r>
            <w:r>
              <w:rPr>
                <w:rFonts w:hint="eastAsia" w:ascii="仿宋" w:hAnsi="仿宋" w:eastAsia="仿宋" w:cs="仿宋"/>
                <w:highlight w:val="none"/>
              </w:rPr>
              <w:t>分。</w:t>
            </w:r>
            <w:r>
              <w:rPr>
                <w:rFonts w:hint="eastAsia" w:ascii="仿宋" w:hAnsi="仿宋" w:eastAsia="仿宋" w:cs="仿宋"/>
                <w:highlight w:val="none"/>
                <w:lang w:val="en-US" w:eastAsia="zh-CN"/>
              </w:rPr>
              <w:t>以上</w:t>
            </w:r>
            <w:r>
              <w:rPr>
                <w:rFonts w:hint="eastAsia" w:ascii="仿宋" w:hAnsi="仿宋" w:eastAsia="仿宋" w:cs="宋体"/>
                <w:szCs w:val="21"/>
                <w:highlight w:val="none"/>
              </w:rPr>
              <w:t>未</w:t>
            </w:r>
            <w:r>
              <w:rPr>
                <w:rFonts w:hint="eastAsia" w:ascii="仿宋" w:hAnsi="仿宋" w:eastAsia="仿宋" w:cs="仿宋"/>
                <w:color w:val="auto"/>
                <w:sz w:val="21"/>
                <w:szCs w:val="21"/>
                <w:highlight w:val="none"/>
                <w:lang w:val="en-US" w:eastAsia="zh-CN" w:bidi="ar-SA"/>
              </w:rPr>
              <w:t>提供不计分。</w:t>
            </w:r>
          </w:p>
        </w:tc>
      </w:tr>
      <w:tr w14:paraId="638622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642" w:type="dxa"/>
            <w:tcBorders>
              <w:top w:val="single" w:color="auto" w:sz="6" w:space="0"/>
              <w:left w:val="double" w:color="auto" w:sz="4" w:space="0"/>
              <w:bottom w:val="double" w:color="auto" w:sz="4" w:space="0"/>
              <w:right w:val="single" w:color="auto" w:sz="6" w:space="0"/>
            </w:tcBorders>
            <w:vAlign w:val="center"/>
          </w:tcPr>
          <w:p w14:paraId="3F596EAE">
            <w:pPr>
              <w:widowControl/>
              <w:autoSpaceDE w:val="0"/>
              <w:autoSpaceDN w:val="0"/>
              <w:spacing w:line="560" w:lineRule="exact"/>
              <w:jc w:val="center"/>
              <w:rPr>
                <w:rFonts w:ascii="宋体" w:hAnsi="宋体" w:cs="宋体"/>
                <w:szCs w:val="21"/>
                <w:highlight w:val="none"/>
              </w:rPr>
            </w:pPr>
          </w:p>
        </w:tc>
        <w:tc>
          <w:tcPr>
            <w:tcW w:w="1918" w:type="dxa"/>
            <w:gridSpan w:val="2"/>
            <w:tcBorders>
              <w:top w:val="single" w:color="auto" w:sz="6" w:space="0"/>
              <w:left w:val="single" w:color="auto" w:sz="6" w:space="0"/>
              <w:bottom w:val="double" w:color="auto" w:sz="4" w:space="0"/>
              <w:right w:val="single" w:color="auto" w:sz="6" w:space="0"/>
            </w:tcBorders>
            <w:vAlign w:val="center"/>
          </w:tcPr>
          <w:p w14:paraId="01A6C607">
            <w:pPr>
              <w:tabs>
                <w:tab w:val="left" w:pos="7215"/>
              </w:tabs>
              <w:autoSpaceDE w:val="0"/>
              <w:autoSpaceDN w:val="0"/>
              <w:spacing w:line="560" w:lineRule="exact"/>
              <w:jc w:val="center"/>
              <w:rPr>
                <w:rFonts w:ascii="仿宋" w:hAnsi="仿宋" w:eastAsia="仿宋" w:cs="宋体"/>
                <w:szCs w:val="21"/>
                <w:highlight w:val="none"/>
              </w:rPr>
            </w:pPr>
            <w:r>
              <w:rPr>
                <w:rFonts w:hint="eastAsia" w:ascii="仿宋" w:hAnsi="仿宋" w:eastAsia="仿宋" w:cs="宋体"/>
                <w:szCs w:val="21"/>
                <w:highlight w:val="none"/>
              </w:rPr>
              <w:t>合计</w:t>
            </w:r>
          </w:p>
        </w:tc>
        <w:tc>
          <w:tcPr>
            <w:tcW w:w="842" w:type="dxa"/>
            <w:tcBorders>
              <w:top w:val="single" w:color="auto" w:sz="6" w:space="0"/>
              <w:left w:val="single" w:color="auto" w:sz="6" w:space="0"/>
              <w:bottom w:val="double" w:color="auto" w:sz="4" w:space="0"/>
              <w:right w:val="single" w:color="auto" w:sz="6" w:space="0"/>
            </w:tcBorders>
            <w:vAlign w:val="center"/>
          </w:tcPr>
          <w:p w14:paraId="64CD7584">
            <w:pPr>
              <w:tabs>
                <w:tab w:val="left" w:pos="7215"/>
              </w:tabs>
              <w:autoSpaceDE w:val="0"/>
              <w:autoSpaceDN w:val="0"/>
              <w:spacing w:line="560" w:lineRule="exact"/>
              <w:jc w:val="center"/>
              <w:rPr>
                <w:rFonts w:ascii="仿宋" w:hAnsi="仿宋" w:eastAsia="仿宋" w:cs="宋体"/>
                <w:szCs w:val="21"/>
                <w:highlight w:val="none"/>
              </w:rPr>
            </w:pPr>
            <w:r>
              <w:rPr>
                <w:rFonts w:hint="eastAsia" w:ascii="仿宋" w:hAnsi="仿宋" w:eastAsia="仿宋" w:cs="宋体"/>
                <w:szCs w:val="21"/>
                <w:highlight w:val="none"/>
              </w:rPr>
              <w:t>10</w:t>
            </w:r>
            <w:r>
              <w:rPr>
                <w:rFonts w:hint="eastAsia" w:ascii="仿宋" w:hAnsi="仿宋" w:eastAsia="仿宋" w:cs="宋体"/>
                <w:szCs w:val="21"/>
                <w:highlight w:val="none"/>
                <w:lang w:val="en-US" w:eastAsia="zh-CN"/>
              </w:rPr>
              <w:t>0</w:t>
            </w:r>
            <w:r>
              <w:rPr>
                <w:rFonts w:hint="eastAsia" w:ascii="仿宋" w:hAnsi="仿宋" w:eastAsia="仿宋" w:cs="宋体"/>
                <w:szCs w:val="21"/>
                <w:highlight w:val="none"/>
              </w:rPr>
              <w:t>分</w:t>
            </w:r>
          </w:p>
        </w:tc>
        <w:tc>
          <w:tcPr>
            <w:tcW w:w="6851" w:type="dxa"/>
            <w:tcBorders>
              <w:top w:val="single" w:color="auto" w:sz="6" w:space="0"/>
              <w:left w:val="single" w:color="auto" w:sz="6" w:space="0"/>
              <w:bottom w:val="double" w:color="auto" w:sz="4" w:space="0"/>
              <w:right w:val="double" w:color="auto" w:sz="4" w:space="0"/>
            </w:tcBorders>
            <w:vAlign w:val="center"/>
          </w:tcPr>
          <w:p w14:paraId="291EED58">
            <w:pPr>
              <w:tabs>
                <w:tab w:val="left" w:pos="7215"/>
              </w:tabs>
              <w:autoSpaceDE w:val="0"/>
              <w:autoSpaceDN w:val="0"/>
              <w:spacing w:line="320" w:lineRule="exact"/>
              <w:jc w:val="center"/>
              <w:rPr>
                <w:rFonts w:ascii="仿宋" w:hAnsi="仿宋" w:eastAsia="仿宋" w:cs="宋体"/>
                <w:szCs w:val="21"/>
                <w:highlight w:val="none"/>
              </w:rPr>
            </w:pPr>
          </w:p>
        </w:tc>
      </w:tr>
    </w:tbl>
    <w:p w14:paraId="087727E3">
      <w:pPr>
        <w:pStyle w:val="33"/>
        <w:jc w:val="center"/>
        <w:rPr>
          <w:rFonts w:hint="eastAsia" w:ascii="方正小标宋_GBK" w:hAnsi="方正小标宋_GBK" w:eastAsia="方正小标宋_GBK" w:cs="方正小标宋_GBK"/>
          <w:b w:val="0"/>
          <w:bCs/>
          <w:sz w:val="36"/>
          <w:szCs w:val="36"/>
          <w:highlight w:val="none"/>
        </w:rPr>
      </w:pPr>
      <w:r>
        <w:rPr>
          <w:rFonts w:hint="eastAsia" w:ascii="方正小标宋_GBK" w:hAnsi="方正小标宋_GBK" w:eastAsia="方正小标宋_GBK" w:cs="方正小标宋_GBK"/>
          <w:b w:val="0"/>
          <w:bCs/>
          <w:sz w:val="36"/>
          <w:szCs w:val="36"/>
          <w:highlight w:val="none"/>
        </w:rPr>
        <w:t>报价评分标准表（满分</w:t>
      </w:r>
      <w:r>
        <w:rPr>
          <w:rFonts w:hint="eastAsia" w:ascii="方正小标宋_GBK" w:hAnsi="方正小标宋_GBK" w:eastAsia="方正小标宋_GBK" w:cs="方正小标宋_GBK"/>
          <w:b w:val="0"/>
          <w:bCs/>
          <w:sz w:val="36"/>
          <w:szCs w:val="36"/>
          <w:highlight w:val="none"/>
          <w:lang w:val="en-US" w:eastAsia="zh-CN"/>
        </w:rPr>
        <w:t>3</w:t>
      </w:r>
      <w:r>
        <w:rPr>
          <w:rFonts w:hint="eastAsia" w:ascii="方正小标宋_GBK" w:hAnsi="方正小标宋_GBK" w:eastAsia="方正小标宋_GBK" w:cs="方正小标宋_GBK"/>
          <w:b w:val="0"/>
          <w:bCs/>
          <w:sz w:val="36"/>
          <w:szCs w:val="36"/>
          <w:highlight w:val="none"/>
        </w:rPr>
        <w:t>0分）</w:t>
      </w:r>
    </w:p>
    <w:p w14:paraId="322B31BA">
      <w:pPr>
        <w:spacing w:line="35" w:lineRule="exact"/>
        <w:rPr>
          <w:highlight w:val="none"/>
        </w:rPr>
      </w:pPr>
    </w:p>
    <w:tbl>
      <w:tblPr>
        <w:tblStyle w:val="19"/>
        <w:tblW w:w="891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2193"/>
        <w:gridCol w:w="2201"/>
        <w:gridCol w:w="3563"/>
      </w:tblGrid>
      <w:tr w14:paraId="03F73F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restart"/>
            <w:vAlign w:val="center"/>
          </w:tcPr>
          <w:p w14:paraId="58377E46">
            <w:pPr>
              <w:jc w:val="center"/>
              <w:rPr>
                <w:rFonts w:ascii="仿宋" w:hAnsi="仿宋" w:eastAsia="仿宋" w:cs="仿宋"/>
                <w:szCs w:val="21"/>
                <w:highlight w:val="none"/>
              </w:rPr>
            </w:pPr>
            <w:r>
              <w:rPr>
                <w:rFonts w:hint="eastAsia" w:ascii="仿宋" w:hAnsi="仿宋" w:eastAsia="仿宋" w:cs="仿宋"/>
                <w:szCs w:val="21"/>
                <w:highlight w:val="none"/>
              </w:rPr>
              <w:t>报</w:t>
            </w:r>
          </w:p>
          <w:p w14:paraId="39C266F8">
            <w:pPr>
              <w:jc w:val="center"/>
              <w:rPr>
                <w:rFonts w:ascii="仿宋" w:hAnsi="仿宋" w:eastAsia="仿宋" w:cs="仿宋"/>
                <w:szCs w:val="21"/>
                <w:highlight w:val="none"/>
              </w:rPr>
            </w:pPr>
            <w:r>
              <w:rPr>
                <w:rFonts w:hint="eastAsia" w:ascii="仿宋" w:hAnsi="仿宋" w:eastAsia="仿宋" w:cs="仿宋"/>
                <w:szCs w:val="21"/>
                <w:highlight w:val="none"/>
              </w:rPr>
              <w:t>价</w:t>
            </w:r>
          </w:p>
          <w:p w14:paraId="7900782D">
            <w:pPr>
              <w:jc w:val="center"/>
              <w:rPr>
                <w:rFonts w:ascii="仿宋" w:hAnsi="仿宋" w:eastAsia="仿宋" w:cs="仿宋"/>
                <w:szCs w:val="21"/>
                <w:highlight w:val="none"/>
              </w:rPr>
            </w:pPr>
            <w:r>
              <w:rPr>
                <w:rFonts w:hint="eastAsia" w:ascii="仿宋" w:hAnsi="仿宋" w:eastAsia="仿宋" w:cs="仿宋"/>
                <w:szCs w:val="21"/>
                <w:highlight w:val="none"/>
              </w:rPr>
              <w:t>评</w:t>
            </w:r>
          </w:p>
          <w:p w14:paraId="0208C2C7">
            <w:pPr>
              <w:jc w:val="center"/>
              <w:rPr>
                <w:rFonts w:ascii="仿宋" w:hAnsi="仿宋" w:eastAsia="仿宋" w:cs="仿宋"/>
                <w:szCs w:val="21"/>
                <w:highlight w:val="none"/>
              </w:rPr>
            </w:pPr>
            <w:r>
              <w:rPr>
                <w:rFonts w:hint="eastAsia" w:ascii="仿宋" w:hAnsi="仿宋" w:eastAsia="仿宋" w:cs="仿宋"/>
                <w:szCs w:val="21"/>
                <w:highlight w:val="none"/>
              </w:rPr>
              <w:t>审</w:t>
            </w:r>
          </w:p>
        </w:tc>
        <w:tc>
          <w:tcPr>
            <w:tcW w:w="2193" w:type="dxa"/>
            <w:tcBorders>
              <w:bottom w:val="single" w:color="auto" w:sz="4" w:space="0"/>
              <w:right w:val="single" w:color="auto" w:sz="4" w:space="0"/>
            </w:tcBorders>
            <w:vAlign w:val="center"/>
          </w:tcPr>
          <w:p w14:paraId="4F9E70A9">
            <w:pPr>
              <w:ind w:firstLine="630" w:firstLineChars="300"/>
              <w:jc w:val="both"/>
              <w:rPr>
                <w:rFonts w:ascii="仿宋" w:hAnsi="仿宋" w:eastAsia="仿宋" w:cs="仿宋"/>
                <w:szCs w:val="21"/>
                <w:highlight w:val="none"/>
              </w:rPr>
            </w:pPr>
            <w:r>
              <w:rPr>
                <w:rFonts w:hint="eastAsia" w:ascii="仿宋" w:hAnsi="仿宋" w:eastAsia="仿宋" w:cs="仿宋"/>
                <w:szCs w:val="21"/>
                <w:highlight w:val="none"/>
              </w:rPr>
              <w:t>评分标准</w:t>
            </w:r>
          </w:p>
        </w:tc>
        <w:tc>
          <w:tcPr>
            <w:tcW w:w="2201" w:type="dxa"/>
            <w:tcBorders>
              <w:left w:val="single" w:color="auto" w:sz="4" w:space="0"/>
              <w:bottom w:val="single" w:color="auto" w:sz="4" w:space="0"/>
              <w:right w:val="single" w:color="auto" w:sz="4" w:space="0"/>
            </w:tcBorders>
            <w:vAlign w:val="center"/>
          </w:tcPr>
          <w:p w14:paraId="3EB11E40">
            <w:pPr>
              <w:ind w:firstLine="420"/>
              <w:jc w:val="both"/>
              <w:rPr>
                <w:rFonts w:ascii="仿宋" w:hAnsi="仿宋" w:eastAsia="仿宋" w:cs="仿宋"/>
                <w:szCs w:val="21"/>
                <w:highlight w:val="none"/>
              </w:rPr>
            </w:pPr>
            <w:r>
              <w:rPr>
                <w:rFonts w:hint="eastAsia" w:ascii="仿宋" w:hAnsi="仿宋" w:eastAsia="仿宋" w:cs="仿宋"/>
                <w:szCs w:val="21"/>
                <w:highlight w:val="none"/>
              </w:rPr>
              <w:t>计分方式</w:t>
            </w:r>
          </w:p>
        </w:tc>
        <w:tc>
          <w:tcPr>
            <w:tcW w:w="3563" w:type="dxa"/>
            <w:tcBorders>
              <w:left w:val="single" w:color="auto" w:sz="4" w:space="0"/>
              <w:bottom w:val="single" w:color="auto" w:sz="4" w:space="0"/>
            </w:tcBorders>
            <w:vAlign w:val="center"/>
          </w:tcPr>
          <w:p w14:paraId="6A14572E">
            <w:pPr>
              <w:ind w:firstLine="420"/>
              <w:rPr>
                <w:rFonts w:ascii="仿宋" w:hAnsi="仿宋" w:eastAsia="仿宋" w:cs="仿宋"/>
                <w:szCs w:val="21"/>
                <w:highlight w:val="none"/>
              </w:rPr>
            </w:pPr>
            <w:r>
              <w:rPr>
                <w:rFonts w:hint="eastAsia" w:ascii="仿宋" w:hAnsi="仿宋" w:eastAsia="仿宋" w:cs="仿宋"/>
                <w:szCs w:val="21"/>
                <w:highlight w:val="none"/>
              </w:rPr>
              <w:t>备注</w:t>
            </w:r>
          </w:p>
        </w:tc>
      </w:tr>
      <w:tr w14:paraId="7252D3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433AB50E">
            <w:pPr>
              <w:ind w:firstLine="420"/>
              <w:jc w:val="center"/>
              <w:rPr>
                <w:rFonts w:ascii="仿宋" w:hAnsi="仿宋" w:eastAsia="仿宋" w:cs="仿宋"/>
                <w:szCs w:val="21"/>
                <w:highlight w:val="none"/>
              </w:rPr>
            </w:pPr>
          </w:p>
        </w:tc>
        <w:tc>
          <w:tcPr>
            <w:tcW w:w="2193" w:type="dxa"/>
            <w:tcBorders>
              <w:top w:val="single" w:color="auto" w:sz="4" w:space="0"/>
              <w:bottom w:val="single" w:color="auto" w:sz="4" w:space="0"/>
              <w:right w:val="single" w:color="auto" w:sz="4" w:space="0"/>
            </w:tcBorders>
            <w:vAlign w:val="center"/>
          </w:tcPr>
          <w:p w14:paraId="22BD5F2A">
            <w:pPr>
              <w:jc w:val="center"/>
              <w:rPr>
                <w:rFonts w:ascii="仿宋" w:hAnsi="仿宋" w:eastAsia="仿宋" w:cs="仿宋"/>
                <w:szCs w:val="21"/>
                <w:highlight w:val="none"/>
              </w:rPr>
            </w:pPr>
            <w:r>
              <w:rPr>
                <w:rFonts w:hint="eastAsia" w:ascii="仿宋" w:hAnsi="仿宋" w:eastAsia="仿宋" w:cs="仿宋"/>
                <w:szCs w:val="21"/>
                <w:highlight w:val="none"/>
              </w:rPr>
              <w:t>投标报价</w:t>
            </w:r>
            <w:r>
              <w:rPr>
                <w:rFonts w:hint="eastAsia" w:ascii="仿宋" w:hAnsi="仿宋" w:eastAsia="仿宋" w:cs="仿宋"/>
                <w:szCs w:val="21"/>
                <w:highlight w:val="none"/>
                <w:lang w:eastAsia="zh-CN"/>
              </w:rPr>
              <w:t>〉</w:t>
            </w:r>
            <w:r>
              <w:rPr>
                <w:rFonts w:hint="eastAsia" w:ascii="仿宋" w:hAnsi="仿宋" w:eastAsia="仿宋" w:cs="仿宋"/>
                <w:szCs w:val="21"/>
                <w:highlight w:val="none"/>
              </w:rPr>
              <w:t>基准价</w:t>
            </w:r>
          </w:p>
        </w:tc>
        <w:tc>
          <w:tcPr>
            <w:tcW w:w="2201" w:type="dxa"/>
            <w:tcBorders>
              <w:top w:val="single" w:color="auto" w:sz="4" w:space="0"/>
              <w:left w:val="single" w:color="auto" w:sz="4" w:space="0"/>
              <w:bottom w:val="single" w:color="auto" w:sz="4" w:space="0"/>
              <w:right w:val="single" w:color="auto" w:sz="4" w:space="0"/>
            </w:tcBorders>
            <w:vAlign w:val="center"/>
          </w:tcPr>
          <w:p w14:paraId="1CC3B168">
            <w:pPr>
              <w:ind w:firstLine="630" w:firstLineChars="300"/>
              <w:jc w:val="both"/>
              <w:rPr>
                <w:rFonts w:ascii="仿宋" w:hAnsi="仿宋" w:eastAsia="仿宋" w:cs="仿宋"/>
                <w:szCs w:val="21"/>
                <w:highlight w:val="none"/>
              </w:rPr>
            </w:pP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0-</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0X</w:t>
            </w:r>
          </w:p>
        </w:tc>
        <w:tc>
          <w:tcPr>
            <w:tcW w:w="3563" w:type="dxa"/>
            <w:vMerge w:val="restart"/>
            <w:tcBorders>
              <w:top w:val="single" w:color="auto" w:sz="4" w:space="0"/>
              <w:left w:val="single" w:color="auto" w:sz="4" w:space="0"/>
            </w:tcBorders>
            <w:vAlign w:val="center"/>
          </w:tcPr>
          <w:p w14:paraId="61C30C93">
            <w:pPr>
              <w:ind w:firstLine="420"/>
              <w:rPr>
                <w:rFonts w:ascii="仿宋" w:hAnsi="仿宋" w:eastAsia="仿宋" w:cs="仿宋"/>
                <w:szCs w:val="21"/>
                <w:highlight w:val="none"/>
              </w:rPr>
            </w:pPr>
            <w:r>
              <w:rPr>
                <w:rFonts w:hint="eastAsia" w:ascii="仿宋" w:hAnsi="仿宋" w:eastAsia="仿宋" w:cs="仿宋"/>
                <w:szCs w:val="21"/>
                <w:highlight w:val="none"/>
              </w:rPr>
              <w:t>X为最终投标价升、降率百分点数的绝对值，即：▏（最终投标价－基准价）/（基准价）▏*100%</w:t>
            </w:r>
          </w:p>
        </w:tc>
      </w:tr>
      <w:tr w14:paraId="25A77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64D68196">
            <w:pPr>
              <w:ind w:firstLine="420"/>
              <w:jc w:val="center"/>
              <w:rPr>
                <w:rFonts w:ascii="仿宋" w:hAnsi="仿宋" w:eastAsia="仿宋" w:cs="仿宋"/>
                <w:szCs w:val="21"/>
                <w:highlight w:val="none"/>
              </w:rPr>
            </w:pPr>
          </w:p>
        </w:tc>
        <w:tc>
          <w:tcPr>
            <w:tcW w:w="2193" w:type="dxa"/>
            <w:tcBorders>
              <w:top w:val="single" w:color="auto" w:sz="4" w:space="0"/>
              <w:bottom w:val="single" w:color="auto" w:sz="4" w:space="0"/>
              <w:right w:val="single" w:color="auto" w:sz="4" w:space="0"/>
            </w:tcBorders>
            <w:vAlign w:val="center"/>
          </w:tcPr>
          <w:p w14:paraId="1C4F9E25">
            <w:pPr>
              <w:jc w:val="center"/>
              <w:rPr>
                <w:rFonts w:ascii="仿宋" w:hAnsi="仿宋" w:eastAsia="仿宋" w:cs="仿宋"/>
                <w:szCs w:val="21"/>
                <w:highlight w:val="none"/>
              </w:rPr>
            </w:pPr>
            <w:r>
              <w:rPr>
                <w:rFonts w:hint="eastAsia" w:ascii="仿宋" w:hAnsi="仿宋" w:eastAsia="仿宋" w:cs="仿宋"/>
                <w:szCs w:val="21"/>
                <w:highlight w:val="none"/>
              </w:rPr>
              <w:t>投标报价＝基准价</w:t>
            </w:r>
          </w:p>
        </w:tc>
        <w:tc>
          <w:tcPr>
            <w:tcW w:w="2201" w:type="dxa"/>
            <w:tcBorders>
              <w:top w:val="single" w:color="auto" w:sz="4" w:space="0"/>
              <w:left w:val="single" w:color="auto" w:sz="4" w:space="0"/>
              <w:bottom w:val="single" w:color="auto" w:sz="4" w:space="0"/>
              <w:right w:val="single" w:color="auto" w:sz="4" w:space="0"/>
            </w:tcBorders>
            <w:vAlign w:val="center"/>
          </w:tcPr>
          <w:p w14:paraId="220A47B5">
            <w:pPr>
              <w:ind w:firstLine="630" w:firstLineChars="300"/>
              <w:jc w:val="both"/>
              <w:rPr>
                <w:rFonts w:ascii="仿宋" w:hAnsi="仿宋" w:eastAsia="仿宋" w:cs="仿宋"/>
                <w:szCs w:val="21"/>
                <w:highlight w:val="none"/>
              </w:rPr>
            </w:pP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0分</w:t>
            </w:r>
          </w:p>
        </w:tc>
        <w:tc>
          <w:tcPr>
            <w:tcW w:w="3563" w:type="dxa"/>
            <w:vMerge w:val="continue"/>
            <w:tcBorders>
              <w:left w:val="single" w:color="auto" w:sz="4" w:space="0"/>
            </w:tcBorders>
            <w:vAlign w:val="center"/>
          </w:tcPr>
          <w:p w14:paraId="4D691CB5">
            <w:pPr>
              <w:ind w:firstLine="420"/>
              <w:rPr>
                <w:rFonts w:ascii="仿宋" w:hAnsi="仿宋" w:eastAsia="仿宋" w:cs="仿宋"/>
                <w:szCs w:val="21"/>
                <w:highlight w:val="none"/>
              </w:rPr>
            </w:pPr>
          </w:p>
        </w:tc>
      </w:tr>
      <w:tr w14:paraId="5BEDC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1D1F0CB7">
            <w:pPr>
              <w:ind w:firstLine="420"/>
              <w:jc w:val="center"/>
              <w:rPr>
                <w:rFonts w:ascii="仿宋" w:hAnsi="仿宋" w:eastAsia="仿宋" w:cs="仿宋"/>
                <w:szCs w:val="21"/>
                <w:highlight w:val="none"/>
              </w:rPr>
            </w:pPr>
          </w:p>
        </w:tc>
        <w:tc>
          <w:tcPr>
            <w:tcW w:w="2193" w:type="dxa"/>
            <w:tcBorders>
              <w:top w:val="single" w:color="auto" w:sz="4" w:space="0"/>
              <w:bottom w:val="single" w:color="auto" w:sz="4" w:space="0"/>
              <w:right w:val="single" w:color="auto" w:sz="4" w:space="0"/>
            </w:tcBorders>
            <w:vAlign w:val="center"/>
          </w:tcPr>
          <w:p w14:paraId="181BD992">
            <w:pPr>
              <w:jc w:val="center"/>
              <w:rPr>
                <w:rFonts w:ascii="仿宋" w:hAnsi="仿宋" w:eastAsia="仿宋" w:cs="仿宋"/>
                <w:szCs w:val="21"/>
                <w:highlight w:val="none"/>
              </w:rPr>
            </w:pPr>
            <w:r>
              <w:rPr>
                <w:rFonts w:hint="eastAsia" w:ascii="仿宋" w:hAnsi="仿宋" w:eastAsia="仿宋" w:cs="仿宋"/>
                <w:szCs w:val="21"/>
                <w:highlight w:val="none"/>
              </w:rPr>
              <w:t>投标报价</w:t>
            </w:r>
            <w:r>
              <w:rPr>
                <w:rFonts w:hint="eastAsia" w:ascii="仿宋" w:hAnsi="仿宋" w:eastAsia="仿宋" w:cs="仿宋"/>
                <w:szCs w:val="21"/>
                <w:highlight w:val="none"/>
                <w:lang w:eastAsia="zh-CN"/>
              </w:rPr>
              <w:t>〈</w:t>
            </w:r>
            <w:r>
              <w:rPr>
                <w:rFonts w:hint="eastAsia" w:ascii="仿宋" w:hAnsi="仿宋" w:eastAsia="仿宋" w:cs="仿宋"/>
                <w:szCs w:val="21"/>
                <w:highlight w:val="none"/>
              </w:rPr>
              <w:t>基准价</w:t>
            </w:r>
          </w:p>
        </w:tc>
        <w:tc>
          <w:tcPr>
            <w:tcW w:w="2201" w:type="dxa"/>
            <w:tcBorders>
              <w:top w:val="single" w:color="auto" w:sz="4" w:space="0"/>
              <w:left w:val="single" w:color="auto" w:sz="4" w:space="0"/>
              <w:bottom w:val="single" w:color="auto" w:sz="4" w:space="0"/>
              <w:right w:val="single" w:color="auto" w:sz="4" w:space="0"/>
            </w:tcBorders>
            <w:vAlign w:val="center"/>
          </w:tcPr>
          <w:p w14:paraId="18D78B5E">
            <w:pPr>
              <w:ind w:firstLine="630" w:firstLineChars="300"/>
              <w:jc w:val="both"/>
              <w:rPr>
                <w:rFonts w:ascii="仿宋" w:hAnsi="仿宋" w:eastAsia="仿宋" w:cs="仿宋"/>
                <w:szCs w:val="21"/>
                <w:highlight w:val="none"/>
              </w:rPr>
            </w:pP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0-</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0X</w:t>
            </w:r>
          </w:p>
        </w:tc>
        <w:tc>
          <w:tcPr>
            <w:tcW w:w="3563" w:type="dxa"/>
            <w:vMerge w:val="continue"/>
            <w:tcBorders>
              <w:left w:val="single" w:color="auto" w:sz="4" w:space="0"/>
              <w:bottom w:val="single" w:color="auto" w:sz="4" w:space="0"/>
            </w:tcBorders>
            <w:vAlign w:val="center"/>
          </w:tcPr>
          <w:p w14:paraId="43F0CF81">
            <w:pPr>
              <w:ind w:firstLine="420"/>
              <w:rPr>
                <w:rFonts w:ascii="仿宋" w:hAnsi="仿宋" w:eastAsia="仿宋" w:cs="仿宋"/>
                <w:szCs w:val="21"/>
                <w:highlight w:val="none"/>
              </w:rPr>
            </w:pPr>
          </w:p>
        </w:tc>
      </w:tr>
      <w:tr w14:paraId="0118A1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5" w:hRule="exact"/>
          <w:jc w:val="center"/>
        </w:trPr>
        <w:tc>
          <w:tcPr>
            <w:tcW w:w="959" w:type="dxa"/>
            <w:vMerge w:val="continue"/>
            <w:vAlign w:val="center"/>
          </w:tcPr>
          <w:p w14:paraId="692681D8">
            <w:pPr>
              <w:ind w:firstLine="420"/>
              <w:jc w:val="center"/>
              <w:rPr>
                <w:rFonts w:ascii="仿宋" w:hAnsi="仿宋" w:eastAsia="仿宋" w:cs="仿宋"/>
                <w:szCs w:val="21"/>
                <w:highlight w:val="none"/>
              </w:rPr>
            </w:pPr>
          </w:p>
        </w:tc>
        <w:tc>
          <w:tcPr>
            <w:tcW w:w="7957" w:type="dxa"/>
            <w:gridSpan w:val="3"/>
            <w:tcBorders>
              <w:top w:val="single" w:color="auto" w:sz="4" w:space="0"/>
            </w:tcBorders>
            <w:vAlign w:val="center"/>
          </w:tcPr>
          <w:p w14:paraId="713B5504">
            <w:pPr>
              <w:ind w:firstLine="420"/>
              <w:rPr>
                <w:rFonts w:ascii="仿宋" w:hAnsi="仿宋" w:eastAsia="仿宋" w:cs="仿宋"/>
                <w:szCs w:val="21"/>
                <w:highlight w:val="none"/>
              </w:rPr>
            </w:pPr>
            <w:r>
              <w:rPr>
                <w:rFonts w:hint="eastAsia" w:ascii="仿宋" w:hAnsi="仿宋" w:eastAsia="仿宋" w:cs="仿宋"/>
                <w:szCs w:val="21"/>
                <w:highlight w:val="none"/>
              </w:rPr>
              <w:t>备注：</w:t>
            </w:r>
          </w:p>
          <w:p w14:paraId="1E4871AB">
            <w:pPr>
              <w:ind w:firstLine="420"/>
              <w:rPr>
                <w:rFonts w:ascii="仿宋" w:hAnsi="仿宋" w:eastAsia="仿宋" w:cs="仿宋"/>
                <w:szCs w:val="21"/>
                <w:highlight w:val="none"/>
              </w:rPr>
            </w:pPr>
            <w:r>
              <w:rPr>
                <w:rFonts w:hint="eastAsia" w:ascii="仿宋" w:hAnsi="仿宋" w:eastAsia="仿宋" w:cs="仿宋"/>
                <w:szCs w:val="21"/>
                <w:highlight w:val="none"/>
              </w:rPr>
              <w:t>1.所有有效参选单位的投标报价进入最终投标价的算术平均。</w:t>
            </w:r>
          </w:p>
          <w:p w14:paraId="58688758">
            <w:pPr>
              <w:ind w:firstLine="420"/>
              <w:rPr>
                <w:rFonts w:ascii="仿宋" w:hAnsi="仿宋" w:eastAsia="仿宋" w:cs="仿宋"/>
                <w:szCs w:val="21"/>
                <w:highlight w:val="none"/>
              </w:rPr>
            </w:pPr>
            <w:r>
              <w:rPr>
                <w:rFonts w:hint="eastAsia" w:ascii="仿宋" w:hAnsi="仿宋" w:eastAsia="仿宋" w:cs="仿宋"/>
                <w:szCs w:val="21"/>
                <w:highlight w:val="none"/>
              </w:rPr>
              <w:t>2. 基准价公式</w:t>
            </w:r>
            <w:r>
              <w:rPr>
                <w:rFonts w:hint="eastAsia" w:ascii="仿宋" w:hAnsi="仿宋" w:eastAsia="仿宋" w:cs="仿宋"/>
                <w:szCs w:val="21"/>
                <w:highlight w:val="none"/>
                <w:lang w:eastAsia="zh-CN"/>
              </w:rPr>
              <w:t>：</w:t>
            </w:r>
          </w:p>
          <w:p w14:paraId="6EDCF661">
            <w:pPr>
              <w:ind w:firstLine="420"/>
              <w:rPr>
                <w:rFonts w:ascii="仿宋" w:hAnsi="仿宋" w:eastAsia="仿宋" w:cs="仿宋"/>
                <w:szCs w:val="21"/>
                <w:highlight w:val="none"/>
              </w:rPr>
            </w:pPr>
            <w:r>
              <w:rPr>
                <w:rFonts w:hint="eastAsia" w:ascii="仿宋" w:hAnsi="仿宋" w:eastAsia="仿宋" w:cs="仿宋"/>
                <w:szCs w:val="21"/>
                <w:highlight w:val="none"/>
              </w:rPr>
              <w:t>基准价=（A1+A2+……+Ai …… +An</w:t>
            </w:r>
            <w:r>
              <w:rPr>
                <w:rFonts w:hint="eastAsia" w:ascii="仿宋" w:hAnsi="仿宋" w:eastAsia="仿宋" w:cs="仿宋"/>
                <w:szCs w:val="21"/>
                <w:highlight w:val="none"/>
                <w:lang w:eastAsia="zh-CN"/>
              </w:rPr>
              <w:t>）</w:t>
            </w:r>
            <w:r>
              <w:rPr>
                <w:rFonts w:hint="eastAsia" w:ascii="仿宋" w:hAnsi="仿宋" w:eastAsia="仿宋" w:cs="仿宋"/>
                <w:szCs w:val="21"/>
                <w:highlight w:val="none"/>
              </w:rPr>
              <w:t>/N</w:t>
            </w:r>
          </w:p>
          <w:p w14:paraId="54062E2E">
            <w:pPr>
              <w:ind w:firstLine="420"/>
              <w:rPr>
                <w:rFonts w:ascii="仿宋" w:hAnsi="仿宋" w:eastAsia="仿宋" w:cs="仿宋"/>
                <w:szCs w:val="21"/>
                <w:highlight w:val="none"/>
              </w:rPr>
            </w:pPr>
            <w:r>
              <w:rPr>
                <w:rFonts w:hint="eastAsia" w:ascii="仿宋" w:hAnsi="仿宋" w:eastAsia="仿宋" w:cs="仿宋"/>
                <w:szCs w:val="21"/>
                <w:highlight w:val="none"/>
              </w:rPr>
              <w:t>i=1...i…n；Ai为进入基准价计算的最终投标价；N为进入基准价计算的最终投标价的个数。</w:t>
            </w:r>
          </w:p>
          <w:p w14:paraId="3EB77145">
            <w:pPr>
              <w:ind w:firstLine="420"/>
              <w:rPr>
                <w:rFonts w:ascii="仿宋" w:hAnsi="仿宋" w:eastAsia="仿宋" w:cs="仿宋"/>
                <w:szCs w:val="21"/>
                <w:highlight w:val="none"/>
              </w:rPr>
            </w:pPr>
            <w:r>
              <w:rPr>
                <w:rFonts w:hint="eastAsia" w:ascii="仿宋" w:hAnsi="仿宋" w:eastAsia="仿宋" w:cs="仿宋"/>
                <w:szCs w:val="21"/>
                <w:highlight w:val="none"/>
              </w:rPr>
              <w:t>3.最终投标报价以人民币元为单位，计算保留至小数点后2位</w:t>
            </w:r>
            <w:r>
              <w:rPr>
                <w:rFonts w:hint="eastAsia" w:ascii="仿宋" w:hAnsi="仿宋" w:eastAsia="仿宋" w:cs="仿宋"/>
                <w:szCs w:val="21"/>
                <w:highlight w:val="none"/>
                <w:lang w:eastAsia="zh-CN"/>
              </w:rPr>
              <w:t>（</w:t>
            </w:r>
            <w:r>
              <w:rPr>
                <w:rFonts w:hint="eastAsia" w:ascii="仿宋" w:hAnsi="仿宋" w:eastAsia="仿宋" w:cs="仿宋"/>
                <w:szCs w:val="21"/>
                <w:highlight w:val="none"/>
              </w:rPr>
              <w:t>百分比亦然</w:t>
            </w:r>
            <w:r>
              <w:rPr>
                <w:rFonts w:hint="eastAsia" w:ascii="仿宋" w:hAnsi="仿宋" w:eastAsia="仿宋" w:cs="仿宋"/>
                <w:szCs w:val="21"/>
                <w:highlight w:val="none"/>
                <w:lang w:eastAsia="zh-CN"/>
              </w:rPr>
              <w:t>）</w:t>
            </w:r>
            <w:r>
              <w:rPr>
                <w:rFonts w:hint="eastAsia" w:ascii="仿宋" w:hAnsi="仿宋" w:eastAsia="仿宋" w:cs="仿宋"/>
                <w:szCs w:val="21"/>
                <w:highlight w:val="none"/>
              </w:rPr>
              <w:t>，小数点后第3位采取4舍5入。</w:t>
            </w:r>
          </w:p>
          <w:p w14:paraId="42F4C49B">
            <w:pPr>
              <w:ind w:firstLine="420"/>
              <w:rPr>
                <w:rFonts w:ascii="仿宋" w:hAnsi="仿宋" w:eastAsia="仿宋" w:cs="仿宋"/>
                <w:szCs w:val="21"/>
                <w:highlight w:val="none"/>
              </w:rPr>
            </w:pPr>
            <w:r>
              <w:rPr>
                <w:rFonts w:hint="eastAsia" w:ascii="仿宋" w:hAnsi="仿宋" w:eastAsia="仿宋" w:cs="仿宋"/>
                <w:szCs w:val="21"/>
                <w:highlight w:val="none"/>
              </w:rPr>
              <w:t>4.该项评标内容计分，由评标委员会按以上规定集体评议确定。</w:t>
            </w:r>
          </w:p>
          <w:p w14:paraId="54A77069">
            <w:pPr>
              <w:ind w:firstLine="420"/>
              <w:rPr>
                <w:rFonts w:ascii="仿宋" w:hAnsi="仿宋" w:eastAsia="仿宋" w:cs="仿宋"/>
                <w:szCs w:val="21"/>
                <w:highlight w:val="none"/>
              </w:rPr>
            </w:pPr>
            <w:r>
              <w:rPr>
                <w:rFonts w:hint="eastAsia" w:ascii="仿宋" w:hAnsi="仿宋" w:eastAsia="仿宋" w:cs="仿宋"/>
                <w:szCs w:val="21"/>
                <w:highlight w:val="none"/>
              </w:rPr>
              <w:t>5.初步评审不合格的不进入该部分评审。</w:t>
            </w:r>
          </w:p>
          <w:p w14:paraId="2443C278">
            <w:pPr>
              <w:ind w:firstLine="420"/>
              <w:rPr>
                <w:rFonts w:ascii="仿宋" w:hAnsi="仿宋" w:eastAsia="仿宋" w:cs="仿宋"/>
                <w:b/>
                <w:szCs w:val="21"/>
                <w:highlight w:val="none"/>
              </w:rPr>
            </w:pPr>
            <w:r>
              <w:rPr>
                <w:rFonts w:hint="eastAsia" w:ascii="仿宋" w:hAnsi="仿宋" w:eastAsia="仿宋" w:cs="仿宋"/>
                <w:bCs/>
                <w:szCs w:val="21"/>
                <w:highlight w:val="none"/>
              </w:rPr>
              <w:t>6.为防止恶意投标报价，报价最高得分为</w:t>
            </w:r>
            <w:r>
              <w:rPr>
                <w:rFonts w:hint="eastAsia" w:ascii="仿宋" w:hAnsi="仿宋" w:eastAsia="仿宋" w:cs="仿宋"/>
                <w:bCs/>
                <w:szCs w:val="21"/>
                <w:highlight w:val="none"/>
                <w:lang w:val="en-US" w:eastAsia="zh-CN"/>
              </w:rPr>
              <w:t>3</w:t>
            </w:r>
            <w:r>
              <w:rPr>
                <w:rFonts w:hint="eastAsia" w:ascii="仿宋" w:hAnsi="仿宋" w:eastAsia="仿宋" w:cs="仿宋"/>
                <w:bCs/>
                <w:szCs w:val="21"/>
                <w:highlight w:val="none"/>
              </w:rPr>
              <w:t>0分，最低为20分。</w:t>
            </w:r>
          </w:p>
        </w:tc>
      </w:tr>
    </w:tbl>
    <w:p w14:paraId="16B5A328">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kern w:val="44"/>
          <w:sz w:val="44"/>
          <w:szCs w:val="44"/>
          <w:highlight w:val="none"/>
          <w:lang w:val="en-US" w:eastAsia="zh-CN" w:bidi="ar-SA"/>
        </w:rPr>
      </w:pPr>
    </w:p>
    <w:p w14:paraId="57D0B092">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kern w:val="44"/>
          <w:sz w:val="44"/>
          <w:szCs w:val="44"/>
          <w:highlight w:val="none"/>
          <w:lang w:val="en-US" w:eastAsia="zh-CN" w:bidi="ar-SA"/>
        </w:rPr>
      </w:pPr>
    </w:p>
    <w:p w14:paraId="5FCD194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kern w:val="44"/>
          <w:sz w:val="44"/>
          <w:szCs w:val="44"/>
          <w:highlight w:val="none"/>
          <w:lang w:val="en-US" w:eastAsia="zh-CN" w:bidi="ar-SA"/>
        </w:rPr>
      </w:pPr>
    </w:p>
    <w:p w14:paraId="0110DB07">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kern w:val="44"/>
          <w:sz w:val="44"/>
          <w:szCs w:val="44"/>
          <w:highlight w:val="none"/>
          <w:lang w:val="en-US" w:eastAsia="zh-CN" w:bidi="ar-SA"/>
        </w:rPr>
      </w:pPr>
    </w:p>
    <w:p w14:paraId="64721D59">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kern w:val="44"/>
          <w:sz w:val="44"/>
          <w:szCs w:val="44"/>
          <w:highlight w:val="none"/>
          <w:lang w:val="en-US" w:eastAsia="zh-CN" w:bidi="ar-SA"/>
        </w:rPr>
      </w:pPr>
    </w:p>
    <w:p w14:paraId="2BC31550">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kern w:val="44"/>
          <w:sz w:val="44"/>
          <w:szCs w:val="44"/>
          <w:highlight w:val="none"/>
          <w:lang w:val="en-US" w:eastAsia="zh-CN" w:bidi="ar-SA"/>
        </w:rPr>
      </w:pPr>
    </w:p>
    <w:p w14:paraId="49445E62">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kern w:val="44"/>
          <w:sz w:val="44"/>
          <w:szCs w:val="44"/>
          <w:highlight w:val="none"/>
          <w:lang w:val="en-US" w:eastAsia="zh-CN" w:bidi="ar-SA"/>
        </w:rPr>
      </w:pPr>
    </w:p>
    <w:p w14:paraId="57D3CDBD">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 w:val="0"/>
          <w:bCs/>
          <w:kern w:val="44"/>
          <w:sz w:val="44"/>
          <w:szCs w:val="44"/>
          <w:highlight w:val="none"/>
          <w:lang w:val="en-US" w:eastAsia="zh-CN" w:bidi="ar-SA"/>
        </w:rPr>
      </w:pPr>
      <w:r>
        <w:rPr>
          <w:rFonts w:hint="eastAsia" w:ascii="Calibri" w:hAnsi="Calibri" w:eastAsia="方正小标宋简体" w:cs="Times New Roman"/>
          <w:b w:val="0"/>
          <w:bCs/>
          <w:kern w:val="44"/>
          <w:sz w:val="44"/>
          <w:szCs w:val="44"/>
          <w:highlight w:val="none"/>
          <w:lang w:val="en-US" w:eastAsia="zh-CN" w:bidi="ar-SA"/>
        </w:rPr>
        <w:t>第五章  合同条款及格式</w:t>
      </w:r>
    </w:p>
    <w:p w14:paraId="7C00AFDA">
      <w:pPr>
        <w:pStyle w:val="7"/>
        <w:ind w:firstLine="560" w:firstLineChars="200"/>
        <w:rPr>
          <w:rFonts w:hint="eastAsia" w:ascii="仿宋_GB2312" w:hAnsi="仿宋_GB2312" w:eastAsia="仿宋_GB2312" w:cs="仿宋_GB2312"/>
          <w:b w:val="0"/>
          <w:bCs/>
          <w:kern w:val="44"/>
          <w:sz w:val="32"/>
          <w:szCs w:val="32"/>
          <w:highlight w:val="none"/>
          <w:lang w:val="en-US" w:eastAsia="zh-CN" w:bidi="ar-SA"/>
        </w:rPr>
      </w:pPr>
      <w:r>
        <w:rPr>
          <w:rFonts w:hint="eastAsia" w:ascii="仿宋" w:hAnsi="仿宋" w:eastAsia="仿宋" w:cs="仿宋"/>
          <w:b w:val="0"/>
          <w:bCs/>
          <w:kern w:val="44"/>
          <w:sz w:val="28"/>
          <w:szCs w:val="28"/>
          <w:highlight w:val="none"/>
          <w:lang w:val="en-US" w:eastAsia="zh-CN" w:bidi="ar-SA"/>
        </w:rPr>
        <w:t>合同条款及格式以最终通过集团公司法审流程的为准。</w:t>
      </w:r>
    </w:p>
    <w:p w14:paraId="63F197B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0"/>
          <w:szCs w:val="48"/>
        </w:rPr>
      </w:pPr>
      <w:bookmarkStart w:id="0" w:name="OLE_LINK1"/>
      <w:r>
        <w:rPr>
          <w:rFonts w:hint="eastAsia" w:ascii="方正小标宋_GBK" w:hAnsi="方正小标宋_GBK" w:eastAsia="方正小标宋_GBK" w:cs="方正小标宋_GBK"/>
          <w:sz w:val="40"/>
          <w:szCs w:val="48"/>
        </w:rPr>
        <w:t>食堂</w:t>
      </w:r>
      <w:r>
        <w:rPr>
          <w:rFonts w:hint="eastAsia" w:ascii="方正小标宋_GBK" w:hAnsi="方正小标宋_GBK" w:eastAsia="方正小标宋_GBK" w:cs="方正小标宋_GBK"/>
          <w:sz w:val="40"/>
          <w:szCs w:val="48"/>
          <w:lang w:val="en-US" w:eastAsia="zh-CN"/>
        </w:rPr>
        <w:t>劳务</w:t>
      </w:r>
      <w:bookmarkEnd w:id="0"/>
      <w:r>
        <w:rPr>
          <w:rFonts w:hint="eastAsia" w:ascii="方正小标宋_GBK" w:hAnsi="方正小标宋_GBK" w:eastAsia="方正小标宋_GBK" w:cs="方正小标宋_GBK"/>
          <w:sz w:val="40"/>
          <w:szCs w:val="48"/>
          <w:lang w:val="en-US" w:eastAsia="zh-CN"/>
        </w:rPr>
        <w:t>承包服务合同</w:t>
      </w:r>
    </w:p>
    <w:p w14:paraId="50E8A84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36"/>
        </w:rPr>
      </w:pPr>
    </w:p>
    <w:p w14:paraId="5B88500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36"/>
        </w:rPr>
      </w:pPr>
      <w:r>
        <w:rPr>
          <w:rFonts w:hint="eastAsia" w:ascii="仿宋" w:hAnsi="仿宋" w:eastAsia="仿宋" w:cs="仿宋"/>
          <w:sz w:val="28"/>
          <w:szCs w:val="36"/>
          <w:lang w:val="en-US" w:eastAsia="zh-CN"/>
        </w:rPr>
        <w:t>发包方（甲方）</w:t>
      </w:r>
      <w:r>
        <w:rPr>
          <w:rFonts w:hint="eastAsia" w:ascii="仿宋" w:hAnsi="仿宋" w:eastAsia="仿宋" w:cs="仿宋"/>
          <w:sz w:val="28"/>
          <w:szCs w:val="36"/>
        </w:rPr>
        <w:t>：</w:t>
      </w:r>
    </w:p>
    <w:p w14:paraId="5C8B461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36"/>
        </w:rPr>
      </w:pPr>
      <w:r>
        <w:rPr>
          <w:rFonts w:hint="eastAsia" w:ascii="仿宋" w:hAnsi="仿宋" w:eastAsia="仿宋" w:cs="仿宋"/>
          <w:sz w:val="28"/>
          <w:szCs w:val="36"/>
          <w:lang w:val="en-US" w:eastAsia="zh-CN"/>
        </w:rPr>
        <w:t>承包方（乙方）</w:t>
      </w:r>
      <w:r>
        <w:rPr>
          <w:rFonts w:hint="eastAsia" w:ascii="仿宋" w:hAnsi="仿宋" w:eastAsia="仿宋" w:cs="仿宋"/>
          <w:sz w:val="28"/>
          <w:szCs w:val="36"/>
        </w:rPr>
        <w:t>：</w:t>
      </w:r>
    </w:p>
    <w:p w14:paraId="6C844B9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val="en-US" w:eastAsia="zh-CN"/>
        </w:rPr>
        <w:t>甲方实际需要，决定将本单位食堂劳务工作</w:t>
      </w:r>
      <w:r>
        <w:rPr>
          <w:rFonts w:hint="eastAsia" w:ascii="仿宋" w:hAnsi="仿宋" w:eastAsia="仿宋" w:cs="仿宋"/>
          <w:sz w:val="28"/>
          <w:szCs w:val="36"/>
        </w:rPr>
        <w:t>承包给乙方</w:t>
      </w:r>
      <w:r>
        <w:rPr>
          <w:rFonts w:hint="eastAsia" w:ascii="仿宋" w:hAnsi="仿宋" w:eastAsia="仿宋" w:cs="仿宋"/>
          <w:sz w:val="28"/>
          <w:szCs w:val="36"/>
          <w:lang w:eastAsia="zh-CN"/>
        </w:rPr>
        <w:t>。</w:t>
      </w:r>
      <w:r>
        <w:rPr>
          <w:rFonts w:hint="eastAsia" w:ascii="仿宋" w:hAnsi="仿宋" w:eastAsia="仿宋" w:cs="仿宋"/>
          <w:sz w:val="28"/>
          <w:szCs w:val="36"/>
        </w:rPr>
        <w:t>根据《中华人民共和国民法典》及国家相关法律规定，</w:t>
      </w:r>
      <w:r>
        <w:rPr>
          <w:rFonts w:hint="eastAsia" w:ascii="仿宋" w:hAnsi="仿宋" w:eastAsia="仿宋" w:cs="仿宋"/>
          <w:sz w:val="28"/>
          <w:szCs w:val="36"/>
          <w:lang w:val="en-US" w:eastAsia="zh-CN"/>
        </w:rPr>
        <w:t>现经甲乙双方友好协商，</w:t>
      </w:r>
      <w:r>
        <w:rPr>
          <w:rFonts w:hint="eastAsia" w:ascii="仿宋" w:hAnsi="仿宋" w:eastAsia="仿宋" w:cs="仿宋"/>
          <w:sz w:val="28"/>
          <w:szCs w:val="36"/>
        </w:rPr>
        <w:t>本着平等</w:t>
      </w:r>
      <w:r>
        <w:rPr>
          <w:rFonts w:hint="eastAsia" w:ascii="仿宋" w:hAnsi="仿宋" w:eastAsia="仿宋" w:cs="仿宋"/>
          <w:sz w:val="28"/>
          <w:szCs w:val="36"/>
          <w:lang w:val="en-US" w:eastAsia="zh-CN"/>
        </w:rPr>
        <w:t>互利</w:t>
      </w:r>
      <w:r>
        <w:rPr>
          <w:rFonts w:hint="eastAsia" w:ascii="仿宋" w:hAnsi="仿宋" w:eastAsia="仿宋" w:cs="仿宋"/>
          <w:sz w:val="28"/>
          <w:szCs w:val="36"/>
        </w:rPr>
        <w:t>、诚实守信原则，</w:t>
      </w:r>
      <w:r>
        <w:rPr>
          <w:rFonts w:hint="eastAsia" w:ascii="仿宋" w:hAnsi="仿宋" w:eastAsia="仿宋" w:cs="仿宋"/>
          <w:sz w:val="28"/>
          <w:szCs w:val="36"/>
          <w:lang w:val="en-US" w:eastAsia="zh-CN"/>
        </w:rPr>
        <w:t>达成如下协议</w:t>
      </w:r>
      <w:r>
        <w:rPr>
          <w:rFonts w:hint="eastAsia" w:ascii="仿宋" w:hAnsi="仿宋" w:eastAsia="仿宋" w:cs="仿宋"/>
          <w:sz w:val="28"/>
          <w:szCs w:val="36"/>
          <w:lang w:eastAsia="zh-CN"/>
        </w:rPr>
        <w:t>。</w:t>
      </w:r>
      <w:r>
        <w:rPr>
          <w:rFonts w:hint="eastAsia" w:ascii="仿宋" w:hAnsi="仿宋" w:eastAsia="仿宋" w:cs="仿宋"/>
          <w:sz w:val="28"/>
          <w:szCs w:val="36"/>
        </w:rPr>
        <w:t xml:space="preserve"> </w:t>
      </w:r>
    </w:p>
    <w:p w14:paraId="11697ED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sz w:val="28"/>
          <w:szCs w:val="36"/>
          <w:lang w:val="en-US"/>
        </w:rPr>
      </w:pPr>
      <w:r>
        <w:rPr>
          <w:rFonts w:hint="eastAsia" w:ascii="黑体" w:hAnsi="黑体" w:eastAsia="黑体" w:cs="黑体"/>
          <w:sz w:val="28"/>
          <w:szCs w:val="36"/>
          <w:lang w:val="en-US" w:eastAsia="zh-CN"/>
        </w:rPr>
        <w:t>一、承包内容</w:t>
      </w:r>
    </w:p>
    <w:p w14:paraId="6AB337D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val="en-US" w:eastAsia="zh-CN"/>
        </w:rPr>
        <w:t>甲方将本单位食堂劳务工作承包给乙方。乙方具体工作包括但不限于：甲方就</w:t>
      </w:r>
      <w:r>
        <w:rPr>
          <w:rFonts w:hint="eastAsia" w:ascii="仿宋" w:hAnsi="仿宋" w:eastAsia="仿宋" w:cs="仿宋"/>
          <w:sz w:val="28"/>
          <w:szCs w:val="36"/>
        </w:rPr>
        <w:t>餐人员</w:t>
      </w:r>
      <w:r>
        <w:rPr>
          <w:rFonts w:hint="eastAsia" w:ascii="仿宋" w:hAnsi="仿宋" w:eastAsia="仿宋" w:cs="仿宋"/>
          <w:sz w:val="28"/>
          <w:szCs w:val="36"/>
          <w:lang w:val="en-US" w:eastAsia="zh-CN"/>
        </w:rPr>
        <w:t>国家法定工作</w:t>
      </w:r>
      <w:r>
        <w:rPr>
          <w:rFonts w:hint="eastAsia" w:ascii="仿宋" w:hAnsi="仿宋" w:eastAsia="仿宋" w:cs="仿宋"/>
          <w:sz w:val="28"/>
          <w:szCs w:val="36"/>
        </w:rPr>
        <w:t>日</w:t>
      </w:r>
      <w:r>
        <w:rPr>
          <w:rFonts w:hint="eastAsia" w:ascii="仿宋" w:hAnsi="仿宋" w:eastAsia="仿宋" w:cs="仿宋"/>
          <w:sz w:val="28"/>
          <w:szCs w:val="36"/>
          <w:lang w:val="en-US" w:eastAsia="zh-CN"/>
        </w:rPr>
        <w:t>的</w:t>
      </w:r>
      <w:r>
        <w:rPr>
          <w:rFonts w:hint="eastAsia" w:ascii="仿宋" w:hAnsi="仿宋" w:eastAsia="仿宋" w:cs="仿宋"/>
          <w:sz w:val="28"/>
          <w:szCs w:val="36"/>
        </w:rPr>
        <w:t>早餐、中餐</w:t>
      </w:r>
      <w:r>
        <w:rPr>
          <w:rFonts w:hint="eastAsia" w:ascii="仿宋" w:hAnsi="仿宋" w:eastAsia="仿宋" w:cs="仿宋"/>
          <w:sz w:val="28"/>
          <w:szCs w:val="36"/>
          <w:lang w:val="en-US" w:eastAsia="zh-CN"/>
        </w:rPr>
        <w:t>及服务、餐厅卫生、餐具的清洗消毒等工作</w:t>
      </w:r>
      <w:r>
        <w:rPr>
          <w:rFonts w:hint="eastAsia" w:ascii="仿宋" w:hAnsi="仿宋" w:eastAsia="仿宋" w:cs="仿宋"/>
          <w:sz w:val="28"/>
          <w:szCs w:val="36"/>
        </w:rPr>
        <w:t>。</w:t>
      </w:r>
    </w:p>
    <w:p w14:paraId="6AC92E0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sz w:val="28"/>
          <w:szCs w:val="36"/>
          <w:lang w:val="en-US" w:eastAsia="zh-CN"/>
        </w:rPr>
      </w:pPr>
      <w:r>
        <w:rPr>
          <w:rFonts w:hint="eastAsia" w:ascii="黑体" w:hAnsi="黑体" w:eastAsia="黑体" w:cs="黑体"/>
          <w:sz w:val="28"/>
          <w:szCs w:val="36"/>
          <w:lang w:val="en-US" w:eastAsia="zh-CN"/>
        </w:rPr>
        <w:t>二、合同期限</w:t>
      </w:r>
    </w:p>
    <w:p w14:paraId="30B76B0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rPr>
        <w:t>本次</w:t>
      </w:r>
      <w:r>
        <w:rPr>
          <w:rFonts w:hint="eastAsia" w:ascii="仿宋" w:hAnsi="仿宋" w:eastAsia="仿宋" w:cs="仿宋"/>
          <w:sz w:val="28"/>
          <w:szCs w:val="36"/>
          <w:lang w:val="en-US" w:eastAsia="zh-CN"/>
        </w:rPr>
        <w:t>合同</w:t>
      </w:r>
      <w:r>
        <w:rPr>
          <w:rFonts w:hint="eastAsia" w:ascii="仿宋" w:hAnsi="仿宋" w:eastAsia="仿宋" w:cs="仿宋"/>
          <w:sz w:val="28"/>
          <w:szCs w:val="36"/>
        </w:rPr>
        <w:t>期限</w:t>
      </w:r>
      <w:r>
        <w:rPr>
          <w:rFonts w:hint="eastAsia" w:ascii="仿宋" w:hAnsi="仿宋" w:eastAsia="仿宋" w:cs="仿宋"/>
          <w:sz w:val="28"/>
          <w:szCs w:val="36"/>
          <w:lang w:val="en-US" w:eastAsia="zh-CN"/>
        </w:rPr>
        <w:t>自2026年1月1日起至2026年12月31日止，共一年</w:t>
      </w:r>
      <w:r>
        <w:rPr>
          <w:rFonts w:hint="eastAsia" w:ascii="仿宋" w:hAnsi="仿宋" w:eastAsia="仿宋" w:cs="仿宋"/>
          <w:sz w:val="28"/>
          <w:szCs w:val="36"/>
          <w:lang w:eastAsia="zh-CN"/>
        </w:rPr>
        <w:t>。</w:t>
      </w:r>
    </w:p>
    <w:p w14:paraId="585BCE5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sz w:val="28"/>
          <w:szCs w:val="36"/>
          <w:lang w:val="en-US" w:eastAsia="zh-CN"/>
        </w:rPr>
      </w:pPr>
      <w:r>
        <w:rPr>
          <w:rFonts w:hint="eastAsia" w:ascii="黑体" w:hAnsi="黑体" w:eastAsia="黑体" w:cs="黑体"/>
          <w:sz w:val="28"/>
          <w:szCs w:val="36"/>
          <w:lang w:val="en-US" w:eastAsia="zh-CN"/>
        </w:rPr>
        <w:t>三、合同金额</w:t>
      </w:r>
    </w:p>
    <w:p w14:paraId="3F401FE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rPr>
        <w:t>本项目劳务</w:t>
      </w:r>
      <w:r>
        <w:rPr>
          <w:rFonts w:hint="eastAsia" w:ascii="仿宋" w:hAnsi="仿宋" w:eastAsia="仿宋" w:cs="仿宋"/>
          <w:sz w:val="28"/>
          <w:szCs w:val="36"/>
          <w:lang w:val="en-US" w:eastAsia="zh-CN"/>
        </w:rPr>
        <w:t>服务</w:t>
      </w:r>
      <w:r>
        <w:rPr>
          <w:rFonts w:hint="eastAsia" w:ascii="仿宋" w:hAnsi="仿宋" w:eastAsia="仿宋" w:cs="仿宋"/>
          <w:sz w:val="28"/>
          <w:szCs w:val="36"/>
        </w:rPr>
        <w:t>费为：</w:t>
      </w:r>
      <w:r>
        <w:rPr>
          <w:rFonts w:hint="eastAsia" w:ascii="仿宋" w:hAnsi="仿宋" w:eastAsia="仿宋" w:cs="仿宋"/>
          <w:sz w:val="28"/>
          <w:szCs w:val="36"/>
          <w:lang w:val="en-US" w:eastAsia="zh-CN"/>
        </w:rPr>
        <w:t xml:space="preserve">  元，</w:t>
      </w:r>
      <w:r>
        <w:rPr>
          <w:rFonts w:hint="eastAsia" w:ascii="仿宋" w:hAnsi="仿宋" w:eastAsia="仿宋" w:cs="仿宋"/>
          <w:sz w:val="28"/>
          <w:szCs w:val="36"/>
        </w:rPr>
        <w:t>¥</w:t>
      </w:r>
      <w:r>
        <w:rPr>
          <w:rFonts w:hint="eastAsia" w:ascii="仿宋" w:hAnsi="仿宋" w:eastAsia="仿宋" w:cs="仿宋"/>
          <w:sz w:val="28"/>
          <w:szCs w:val="36"/>
          <w:lang w:eastAsia="zh-CN"/>
        </w:rPr>
        <w:t xml:space="preserve"> </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元/年，上述费用包括负担服务本项目所有员工的工资、奖金、福利、医疗、社保和交通等一切费用</w:t>
      </w: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加班餐的劳务服务费另计</w:t>
      </w:r>
      <w:r>
        <w:rPr>
          <w:rFonts w:hint="eastAsia" w:ascii="仿宋" w:hAnsi="仿宋" w:eastAsia="仿宋" w:cs="仿宋"/>
          <w:sz w:val="28"/>
          <w:szCs w:val="36"/>
        </w:rPr>
        <w:t>。</w:t>
      </w:r>
    </w:p>
    <w:p w14:paraId="67A21B9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sz w:val="28"/>
          <w:szCs w:val="36"/>
          <w:lang w:val="en-US" w:eastAsia="zh-CN"/>
        </w:rPr>
      </w:pPr>
      <w:r>
        <w:rPr>
          <w:rFonts w:hint="eastAsia" w:ascii="黑体" w:hAnsi="黑体" w:eastAsia="黑体" w:cs="黑体"/>
          <w:sz w:val="28"/>
          <w:szCs w:val="36"/>
          <w:lang w:val="en-US" w:eastAsia="zh-CN"/>
        </w:rPr>
        <w:t>四</w:t>
      </w:r>
      <w:r>
        <w:rPr>
          <w:rFonts w:hint="eastAsia" w:ascii="黑体" w:hAnsi="黑体" w:eastAsia="黑体" w:cs="黑体"/>
          <w:sz w:val="28"/>
          <w:szCs w:val="36"/>
        </w:rPr>
        <w:t>、</w:t>
      </w:r>
      <w:r>
        <w:rPr>
          <w:rFonts w:hint="eastAsia" w:ascii="黑体" w:hAnsi="黑体" w:eastAsia="黑体" w:cs="黑体"/>
          <w:sz w:val="28"/>
          <w:szCs w:val="36"/>
          <w:lang w:val="en-US" w:eastAsia="zh-CN"/>
        </w:rPr>
        <w:t>费用结算</w:t>
      </w:r>
    </w:p>
    <w:p w14:paraId="1F100B6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val="en-US" w:eastAsia="zh-CN"/>
        </w:rPr>
        <w:t>1.劳务服务</w:t>
      </w:r>
      <w:r>
        <w:rPr>
          <w:rFonts w:hint="eastAsia" w:ascii="仿宋" w:hAnsi="仿宋" w:eastAsia="仿宋" w:cs="仿宋"/>
          <w:sz w:val="28"/>
          <w:szCs w:val="36"/>
        </w:rPr>
        <w:t>费每月支付一次，每月</w:t>
      </w:r>
      <w:r>
        <w:rPr>
          <w:rFonts w:hint="eastAsia" w:ascii="仿宋" w:hAnsi="仿宋" w:eastAsia="仿宋" w:cs="仿宋"/>
          <w:sz w:val="28"/>
          <w:szCs w:val="36"/>
          <w:lang w:val="en-US" w:eastAsia="zh-CN"/>
        </w:rPr>
        <w:t>金额为</w:t>
      </w:r>
      <w:r>
        <w:rPr>
          <w:rFonts w:hint="eastAsia" w:ascii="仿宋" w:hAnsi="仿宋" w:eastAsia="仿宋" w:cs="仿宋"/>
          <w:sz w:val="28"/>
          <w:szCs w:val="36"/>
          <w:lang w:eastAsia="zh-CN"/>
        </w:rPr>
        <w:t xml:space="preserve"> </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元），</w:t>
      </w:r>
      <w:r>
        <w:rPr>
          <w:rFonts w:hint="eastAsia" w:ascii="仿宋" w:hAnsi="仿宋" w:eastAsia="仿宋" w:cs="仿宋"/>
          <w:sz w:val="28"/>
          <w:szCs w:val="36"/>
          <w:lang w:eastAsia="zh-CN"/>
        </w:rPr>
        <w:t>甲方另行</w:t>
      </w:r>
      <w:r>
        <w:rPr>
          <w:rFonts w:hint="eastAsia" w:ascii="仿宋" w:hAnsi="仿宋" w:eastAsia="仿宋" w:cs="仿宋"/>
          <w:sz w:val="28"/>
          <w:szCs w:val="36"/>
          <w:lang w:val="en-US" w:eastAsia="zh-CN"/>
        </w:rPr>
        <w:t>预留每月劳务服务费的5%即  元/月作为全年的考核费用（全年合计  元），每月实际支付金额为  元，余下费用根据年底考核结果转账支付。</w:t>
      </w:r>
      <w:r>
        <w:rPr>
          <w:rFonts w:hint="eastAsia" w:ascii="仿宋" w:hAnsi="仿宋" w:eastAsia="仿宋" w:cs="仿宋"/>
          <w:sz w:val="28"/>
          <w:szCs w:val="36"/>
        </w:rPr>
        <w:t>乙方</w:t>
      </w:r>
      <w:r>
        <w:rPr>
          <w:rFonts w:hint="eastAsia" w:ascii="仿宋" w:hAnsi="仿宋" w:eastAsia="仿宋" w:cs="仿宋"/>
          <w:sz w:val="28"/>
          <w:szCs w:val="36"/>
          <w:lang w:val="en-US" w:eastAsia="zh-CN"/>
        </w:rPr>
        <w:t>根据实际支付金额</w:t>
      </w:r>
      <w:r>
        <w:rPr>
          <w:rFonts w:hint="eastAsia" w:ascii="仿宋" w:hAnsi="仿宋" w:eastAsia="仿宋" w:cs="仿宋"/>
          <w:sz w:val="28"/>
          <w:szCs w:val="36"/>
        </w:rPr>
        <w:t>提供等额增值税专用发票，甲方在收到乙方发票后，完成内部审批流程后以转账方式支付。</w:t>
      </w:r>
    </w:p>
    <w:p w14:paraId="6CC3F65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rPr>
        <w:t>2</w:t>
      </w:r>
      <w:r>
        <w:rPr>
          <w:rFonts w:hint="eastAsia" w:ascii="仿宋" w:hAnsi="仿宋" w:eastAsia="仿宋" w:cs="仿宋"/>
          <w:sz w:val="28"/>
          <w:szCs w:val="36"/>
          <w:lang w:val="en-US" w:eastAsia="zh-CN"/>
        </w:rPr>
        <w:t>.加班餐的劳务服务费</w:t>
      </w:r>
      <w:r>
        <w:rPr>
          <w:rFonts w:hint="eastAsia" w:ascii="仿宋" w:hAnsi="仿宋" w:eastAsia="仿宋" w:cs="仿宋"/>
          <w:sz w:val="28"/>
          <w:szCs w:val="36"/>
        </w:rPr>
        <w:t>结算：包厢加班餐按桌计算，</w:t>
      </w:r>
      <w:r>
        <w:rPr>
          <w:rFonts w:hint="eastAsia" w:ascii="仿宋" w:hAnsi="仿宋" w:eastAsia="仿宋" w:cs="仿宋"/>
          <w:sz w:val="28"/>
          <w:szCs w:val="36"/>
          <w:lang w:val="en-US" w:eastAsia="zh-CN"/>
        </w:rPr>
        <w:t>每三个月结算一次，</w:t>
      </w:r>
      <w:r>
        <w:rPr>
          <w:rFonts w:hint="eastAsia" w:ascii="仿宋" w:hAnsi="仿宋" w:eastAsia="仿宋" w:cs="仿宋"/>
          <w:sz w:val="28"/>
          <w:szCs w:val="36"/>
        </w:rPr>
        <w:t>用餐人数10人</w:t>
      </w:r>
      <w:r>
        <w:rPr>
          <w:rFonts w:hint="eastAsia" w:ascii="仿宋" w:hAnsi="仿宋" w:eastAsia="仿宋" w:cs="仿宋"/>
          <w:sz w:val="28"/>
          <w:szCs w:val="36"/>
          <w:lang w:val="en-US" w:eastAsia="zh-CN"/>
        </w:rPr>
        <w:t>以上</w:t>
      </w:r>
      <w:r>
        <w:rPr>
          <w:rFonts w:hint="eastAsia" w:ascii="仿宋" w:hAnsi="仿宋" w:eastAsia="仿宋" w:cs="仿宋"/>
          <w:sz w:val="28"/>
          <w:szCs w:val="36"/>
        </w:rPr>
        <w:t>（含</w:t>
      </w:r>
      <w:r>
        <w:rPr>
          <w:rFonts w:hint="eastAsia" w:ascii="仿宋" w:hAnsi="仿宋" w:eastAsia="仿宋" w:cs="仿宋"/>
          <w:sz w:val="28"/>
          <w:szCs w:val="36"/>
          <w:lang w:val="en-US" w:eastAsia="zh-CN"/>
        </w:rPr>
        <w:t>10人</w:t>
      </w:r>
      <w:r>
        <w:rPr>
          <w:rFonts w:hint="eastAsia" w:ascii="仿宋" w:hAnsi="仿宋" w:eastAsia="仿宋" w:cs="仿宋"/>
          <w:sz w:val="28"/>
          <w:szCs w:val="36"/>
        </w:rPr>
        <w:t>）每桌60</w:t>
      </w:r>
      <w:r>
        <w:rPr>
          <w:rFonts w:hint="eastAsia" w:ascii="仿宋" w:hAnsi="仿宋" w:eastAsia="仿宋" w:cs="仿宋"/>
          <w:sz w:val="28"/>
          <w:szCs w:val="36"/>
          <w:lang w:val="en-US" w:eastAsia="zh-CN"/>
        </w:rPr>
        <w:t>元，法定节假日在原有标准上提高20元/桌。</w:t>
      </w:r>
    </w:p>
    <w:p w14:paraId="1C6AE2F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3.每月底统计管理系统中当月实际就餐人数，每月平均中餐实际就餐人数在400人之内，按照中标金额支付当月劳务费用。若中餐月实际平均就餐人数超过400人（不含 400人），超出人数按当月中标招标劳务金额的人平标准的60%予以补助。</w:t>
      </w:r>
    </w:p>
    <w:p w14:paraId="2130E84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sz w:val="28"/>
          <w:szCs w:val="36"/>
        </w:rPr>
      </w:pPr>
      <w:r>
        <w:rPr>
          <w:rFonts w:hint="eastAsia" w:ascii="黑体" w:hAnsi="黑体" w:eastAsia="黑体" w:cs="黑体"/>
          <w:sz w:val="28"/>
          <w:szCs w:val="36"/>
          <w:lang w:val="en-US" w:eastAsia="zh-CN"/>
        </w:rPr>
        <w:t>五</w:t>
      </w:r>
      <w:r>
        <w:rPr>
          <w:rFonts w:hint="eastAsia" w:ascii="黑体" w:hAnsi="黑体" w:eastAsia="黑体" w:cs="黑体"/>
          <w:sz w:val="28"/>
          <w:szCs w:val="36"/>
          <w:lang w:eastAsia="zh-CN"/>
        </w:rPr>
        <w:t>、</w:t>
      </w:r>
      <w:r>
        <w:rPr>
          <w:rFonts w:hint="eastAsia" w:ascii="黑体" w:hAnsi="黑体" w:eastAsia="黑体" w:cs="黑体"/>
          <w:sz w:val="28"/>
          <w:szCs w:val="36"/>
        </w:rPr>
        <w:t>项目要求</w:t>
      </w:r>
    </w:p>
    <w:p w14:paraId="7BD06BB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方正楷体_GB2312" w:hAnsi="方正楷体_GB2312" w:eastAsia="方正楷体_GB2312" w:cs="方正楷体_GB2312"/>
          <w:sz w:val="28"/>
          <w:szCs w:val="36"/>
        </w:rPr>
      </w:pPr>
      <w:r>
        <w:rPr>
          <w:rFonts w:hint="eastAsia" w:ascii="方正楷体_GB2312" w:hAnsi="方正楷体_GB2312" w:eastAsia="方正楷体_GB2312" w:cs="方正楷体_GB2312"/>
          <w:sz w:val="28"/>
          <w:szCs w:val="36"/>
          <w:lang w:eastAsia="zh-CN"/>
        </w:rPr>
        <w:t>（一）</w:t>
      </w:r>
      <w:r>
        <w:rPr>
          <w:rFonts w:hint="eastAsia" w:ascii="方正楷体_GB2312" w:hAnsi="方正楷体_GB2312" w:eastAsia="方正楷体_GB2312" w:cs="方正楷体_GB2312"/>
          <w:sz w:val="28"/>
          <w:szCs w:val="36"/>
        </w:rPr>
        <w:t>合作模式</w:t>
      </w:r>
    </w:p>
    <w:p w14:paraId="28BF51C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rPr>
        <w:t>1</w:t>
      </w:r>
      <w:r>
        <w:rPr>
          <w:rFonts w:hint="eastAsia" w:ascii="仿宋" w:hAnsi="仿宋" w:eastAsia="仿宋" w:cs="仿宋"/>
          <w:sz w:val="28"/>
          <w:szCs w:val="36"/>
          <w:lang w:val="en-US" w:eastAsia="zh-CN"/>
        </w:rPr>
        <w:t>. 本</w:t>
      </w:r>
      <w:r>
        <w:rPr>
          <w:rFonts w:hint="eastAsia" w:ascii="仿宋" w:hAnsi="仿宋" w:eastAsia="仿宋" w:cs="仿宋"/>
          <w:sz w:val="28"/>
          <w:szCs w:val="36"/>
        </w:rPr>
        <w:t>项目实行劳务全外包的合作模式。食堂的食材</w:t>
      </w: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物资</w:t>
      </w:r>
      <w:r>
        <w:rPr>
          <w:rFonts w:hint="eastAsia" w:ascii="仿宋" w:hAnsi="仿宋" w:eastAsia="仿宋" w:cs="仿宋"/>
          <w:sz w:val="28"/>
          <w:szCs w:val="36"/>
        </w:rPr>
        <w:t>采购</w:t>
      </w:r>
      <w:r>
        <w:rPr>
          <w:rFonts w:hint="eastAsia" w:ascii="仿宋" w:hAnsi="仿宋" w:eastAsia="仿宋" w:cs="仿宋"/>
          <w:sz w:val="28"/>
          <w:szCs w:val="36"/>
          <w:lang w:val="en-US" w:eastAsia="zh-CN"/>
        </w:rPr>
        <w:t>及费用报销由甲方</w:t>
      </w:r>
      <w:r>
        <w:rPr>
          <w:rFonts w:hint="eastAsia" w:ascii="仿宋" w:hAnsi="仿宋" w:eastAsia="仿宋" w:cs="仿宋"/>
          <w:sz w:val="28"/>
          <w:szCs w:val="36"/>
        </w:rPr>
        <w:t>派专人</w:t>
      </w:r>
      <w:r>
        <w:rPr>
          <w:rFonts w:hint="eastAsia" w:ascii="仿宋" w:hAnsi="仿宋" w:eastAsia="仿宋" w:cs="仿宋"/>
          <w:sz w:val="28"/>
          <w:szCs w:val="36"/>
          <w:lang w:val="en-US" w:eastAsia="zh-CN"/>
        </w:rPr>
        <w:t>负责</w:t>
      </w:r>
      <w:r>
        <w:rPr>
          <w:rFonts w:hint="eastAsia" w:ascii="仿宋" w:hAnsi="仿宋" w:eastAsia="仿宋" w:cs="仿宋"/>
          <w:sz w:val="28"/>
          <w:szCs w:val="36"/>
          <w:lang w:eastAsia="zh-CN"/>
        </w:rPr>
        <w:t>。</w:t>
      </w:r>
    </w:p>
    <w:p w14:paraId="7ECACE8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rPr>
        <w:t>2</w:t>
      </w:r>
      <w:r>
        <w:rPr>
          <w:rFonts w:hint="eastAsia" w:ascii="仿宋" w:hAnsi="仿宋" w:eastAsia="仿宋" w:cs="仿宋"/>
          <w:sz w:val="28"/>
          <w:szCs w:val="36"/>
          <w:lang w:val="en-US" w:eastAsia="zh-CN"/>
        </w:rPr>
        <w:t>. 甲方将厨房及设备、设施交付乙方使用，乙方</w:t>
      </w:r>
      <w:r>
        <w:rPr>
          <w:rFonts w:hint="eastAsia" w:ascii="仿宋" w:hAnsi="仿宋" w:eastAsia="仿宋" w:cs="仿宋"/>
          <w:sz w:val="28"/>
          <w:szCs w:val="36"/>
        </w:rPr>
        <w:t>按要求进行食堂管理，保障就餐人员的餐饮供应与服务</w:t>
      </w:r>
      <w:r>
        <w:rPr>
          <w:rFonts w:hint="eastAsia" w:ascii="仿宋" w:hAnsi="仿宋" w:eastAsia="仿宋" w:cs="仿宋"/>
          <w:sz w:val="28"/>
          <w:szCs w:val="36"/>
          <w:lang w:eastAsia="zh-CN"/>
        </w:rPr>
        <w:t>。</w:t>
      </w:r>
    </w:p>
    <w:p w14:paraId="7CA4182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bookmarkStart w:id="1" w:name="_Toc17704"/>
      <w:bookmarkStart w:id="2" w:name="_Toc17507"/>
      <w:bookmarkStart w:id="3" w:name="_Toc28279"/>
      <w:r>
        <w:rPr>
          <w:rFonts w:hint="eastAsia" w:ascii="仿宋" w:hAnsi="仿宋" w:eastAsia="仿宋" w:cs="仿宋"/>
          <w:sz w:val="28"/>
          <w:szCs w:val="36"/>
        </w:rPr>
        <w:t>3</w:t>
      </w:r>
      <w:r>
        <w:rPr>
          <w:rFonts w:hint="eastAsia" w:ascii="仿宋" w:hAnsi="仿宋" w:eastAsia="仿宋" w:cs="仿宋"/>
          <w:sz w:val="28"/>
          <w:szCs w:val="36"/>
          <w:lang w:val="en-US" w:eastAsia="zh-CN"/>
        </w:rPr>
        <w:t>. 乙方</w:t>
      </w:r>
      <w:r>
        <w:rPr>
          <w:rFonts w:hint="eastAsia" w:ascii="仿宋" w:hAnsi="仿宋" w:eastAsia="仿宋" w:cs="仿宋"/>
          <w:sz w:val="28"/>
          <w:szCs w:val="36"/>
        </w:rPr>
        <w:t>安排到食堂工作的人员与</w:t>
      </w:r>
      <w:r>
        <w:rPr>
          <w:rFonts w:hint="eastAsia" w:ascii="仿宋" w:hAnsi="仿宋" w:eastAsia="仿宋" w:cs="仿宋"/>
          <w:sz w:val="28"/>
          <w:szCs w:val="36"/>
          <w:lang w:val="en-US" w:eastAsia="zh-CN"/>
        </w:rPr>
        <w:t>乙方</w:t>
      </w:r>
      <w:r>
        <w:rPr>
          <w:rFonts w:hint="eastAsia" w:ascii="仿宋" w:hAnsi="仿宋" w:eastAsia="仿宋" w:cs="仿宋"/>
          <w:sz w:val="28"/>
          <w:szCs w:val="36"/>
        </w:rPr>
        <w:t>存在劳动法律关系（包括劳动合同关系，工资保险关系和劳动用工手续等），与</w:t>
      </w:r>
      <w:r>
        <w:rPr>
          <w:rFonts w:hint="eastAsia" w:ascii="仿宋" w:hAnsi="仿宋" w:eastAsia="仿宋" w:cs="仿宋"/>
          <w:sz w:val="28"/>
          <w:szCs w:val="36"/>
          <w:lang w:val="en-US" w:eastAsia="zh-CN"/>
        </w:rPr>
        <w:t>甲方</w:t>
      </w:r>
      <w:r>
        <w:rPr>
          <w:rFonts w:hint="eastAsia" w:ascii="仿宋" w:hAnsi="仿宋" w:eastAsia="仿宋" w:cs="仿宋"/>
          <w:sz w:val="28"/>
          <w:szCs w:val="36"/>
        </w:rPr>
        <w:t>仅存在合同管理关系，不存在劳动法律关系。</w:t>
      </w:r>
      <w:bookmarkEnd w:id="1"/>
      <w:bookmarkEnd w:id="2"/>
      <w:bookmarkEnd w:id="3"/>
    </w:p>
    <w:p w14:paraId="66C7B56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方正楷体_GB2312" w:hAnsi="方正楷体_GB2312" w:eastAsia="方正楷体_GB2312" w:cs="方正楷体_GB2312"/>
          <w:sz w:val="28"/>
          <w:szCs w:val="36"/>
        </w:rPr>
      </w:pPr>
      <w:r>
        <w:rPr>
          <w:rFonts w:hint="eastAsia" w:ascii="方正楷体_GB2312" w:hAnsi="方正楷体_GB2312" w:eastAsia="方正楷体_GB2312" w:cs="方正楷体_GB2312"/>
          <w:sz w:val="28"/>
          <w:szCs w:val="36"/>
        </w:rPr>
        <w:t>（二）管理模式</w:t>
      </w:r>
    </w:p>
    <w:p w14:paraId="31ACFDD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 用餐方式</w:t>
      </w:r>
    </w:p>
    <w:p w14:paraId="071FC5A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（1）采用自助用餐方式。</w:t>
      </w:r>
    </w:p>
    <w:p w14:paraId="4D29D1D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2）专职服务甲方食堂，不对外营业。</w:t>
      </w:r>
    </w:p>
    <w:p w14:paraId="21DAD26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val="en-US" w:eastAsia="zh-CN"/>
        </w:rPr>
        <w:t xml:space="preserve">2. </w:t>
      </w:r>
      <w:r>
        <w:rPr>
          <w:rFonts w:hint="eastAsia" w:ascii="仿宋" w:hAnsi="仿宋" w:eastAsia="仿宋" w:cs="仿宋"/>
          <w:sz w:val="28"/>
          <w:szCs w:val="36"/>
        </w:rPr>
        <w:t>供餐要求</w:t>
      </w:r>
    </w:p>
    <w:p w14:paraId="1A1A5E0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1）</w:t>
      </w:r>
      <w:r>
        <w:rPr>
          <w:rFonts w:hint="eastAsia" w:ascii="仿宋" w:hAnsi="仿宋" w:eastAsia="仿宋" w:cs="仿宋"/>
          <w:sz w:val="28"/>
          <w:szCs w:val="36"/>
        </w:rPr>
        <w:t>饭菜干净卫生、无杂物、无污物、无怪味等。</w:t>
      </w:r>
    </w:p>
    <w:p w14:paraId="5E2FC48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2）</w:t>
      </w:r>
      <w:r>
        <w:rPr>
          <w:rFonts w:hint="eastAsia" w:ascii="仿宋" w:hAnsi="仿宋" w:eastAsia="仿宋" w:cs="仿宋"/>
          <w:sz w:val="28"/>
          <w:szCs w:val="36"/>
        </w:rPr>
        <w:t>制定菜谱，定期更换和调整菜品花样，保证每日不重复。</w:t>
      </w:r>
    </w:p>
    <w:p w14:paraId="624D041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3）</w:t>
      </w:r>
      <w:r>
        <w:rPr>
          <w:rFonts w:hint="eastAsia" w:ascii="仿宋" w:hAnsi="仿宋" w:eastAsia="仿宋" w:cs="仿宋"/>
          <w:sz w:val="28"/>
          <w:szCs w:val="36"/>
        </w:rPr>
        <w:t>根据</w:t>
      </w:r>
      <w:r>
        <w:rPr>
          <w:rFonts w:hint="eastAsia" w:ascii="仿宋" w:hAnsi="仿宋" w:eastAsia="仿宋" w:cs="仿宋"/>
          <w:sz w:val="28"/>
          <w:szCs w:val="36"/>
          <w:lang w:val="en-US" w:eastAsia="zh-CN"/>
        </w:rPr>
        <w:t>甲方</w:t>
      </w:r>
      <w:r>
        <w:rPr>
          <w:rFonts w:hint="eastAsia" w:ascii="仿宋" w:hAnsi="仿宋" w:eastAsia="仿宋" w:cs="仿宋"/>
          <w:sz w:val="28"/>
          <w:szCs w:val="36"/>
        </w:rPr>
        <w:t>意见和用餐人员意见，及时对出品、服务</w:t>
      </w:r>
      <w:r>
        <w:rPr>
          <w:rFonts w:hint="eastAsia" w:ascii="仿宋" w:hAnsi="仿宋" w:eastAsia="仿宋" w:cs="仿宋"/>
          <w:sz w:val="28"/>
          <w:szCs w:val="36"/>
          <w:lang w:eastAsia="zh-CN"/>
        </w:rPr>
        <w:t>做出</w:t>
      </w:r>
      <w:r>
        <w:rPr>
          <w:rFonts w:hint="eastAsia" w:ascii="仿宋" w:hAnsi="仿宋" w:eastAsia="仿宋" w:cs="仿宋"/>
          <w:sz w:val="28"/>
          <w:szCs w:val="36"/>
        </w:rPr>
        <w:t>调整和改善，为用餐人员出品干净卫生、数量充足、口味俱佳，上档次、够规格的餐品。</w:t>
      </w:r>
    </w:p>
    <w:p w14:paraId="2EC96BF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4）</w:t>
      </w:r>
      <w:r>
        <w:rPr>
          <w:rFonts w:hint="eastAsia" w:ascii="仿宋" w:hAnsi="仿宋" w:eastAsia="仿宋" w:cs="仿宋"/>
          <w:sz w:val="28"/>
          <w:szCs w:val="36"/>
        </w:rPr>
        <w:t>工作日按时提供早餐（7:</w:t>
      </w:r>
      <w:r>
        <w:rPr>
          <w:rFonts w:hint="eastAsia" w:ascii="仿宋" w:hAnsi="仿宋" w:eastAsia="仿宋" w:cs="仿宋"/>
          <w:sz w:val="28"/>
          <w:szCs w:val="36"/>
          <w:lang w:val="en-US" w:eastAsia="zh-CN"/>
        </w:rPr>
        <w:t>0</w:t>
      </w:r>
      <w:r>
        <w:rPr>
          <w:rFonts w:hint="eastAsia" w:ascii="仿宋" w:hAnsi="仿宋" w:eastAsia="仿宋" w:cs="仿宋"/>
          <w:sz w:val="28"/>
          <w:szCs w:val="36"/>
        </w:rPr>
        <w:t>0-8:</w:t>
      </w:r>
      <w:r>
        <w:rPr>
          <w:rFonts w:hint="eastAsia" w:ascii="仿宋" w:hAnsi="仿宋" w:eastAsia="仿宋" w:cs="仿宋"/>
          <w:sz w:val="28"/>
          <w:szCs w:val="36"/>
          <w:lang w:eastAsia="zh-CN"/>
        </w:rPr>
        <w:t>00）、</w:t>
      </w:r>
      <w:r>
        <w:rPr>
          <w:rFonts w:hint="eastAsia" w:ascii="仿宋" w:hAnsi="仿宋" w:eastAsia="仿宋" w:cs="仿宋"/>
          <w:sz w:val="28"/>
          <w:szCs w:val="36"/>
          <w:lang w:val="en-US" w:eastAsia="zh-CN"/>
        </w:rPr>
        <w:t>中</w:t>
      </w:r>
      <w:r>
        <w:rPr>
          <w:rFonts w:hint="eastAsia" w:ascii="仿宋" w:hAnsi="仿宋" w:eastAsia="仿宋" w:cs="仿宋"/>
          <w:sz w:val="28"/>
          <w:szCs w:val="36"/>
        </w:rPr>
        <w:t>餐（1</w:t>
      </w:r>
      <w:r>
        <w:rPr>
          <w:rFonts w:hint="eastAsia" w:ascii="仿宋" w:hAnsi="仿宋" w:eastAsia="仿宋" w:cs="仿宋"/>
          <w:sz w:val="28"/>
          <w:szCs w:val="36"/>
          <w:lang w:val="en-US" w:eastAsia="zh-CN"/>
        </w:rPr>
        <w:t>1:45</w:t>
      </w:r>
      <w:r>
        <w:rPr>
          <w:rFonts w:hint="eastAsia" w:ascii="仿宋" w:hAnsi="仿宋" w:eastAsia="仿宋" w:cs="仿宋"/>
          <w:sz w:val="28"/>
          <w:szCs w:val="36"/>
        </w:rPr>
        <w:t>-13:00）。</w:t>
      </w:r>
    </w:p>
    <w:p w14:paraId="4130F3C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val="en-US" w:eastAsia="zh-CN"/>
        </w:rPr>
        <w:t xml:space="preserve">3. </w:t>
      </w:r>
      <w:r>
        <w:rPr>
          <w:rFonts w:hint="eastAsia" w:ascii="仿宋" w:hAnsi="仿宋" w:eastAsia="仿宋" w:cs="仿宋"/>
          <w:sz w:val="28"/>
          <w:szCs w:val="36"/>
        </w:rPr>
        <w:t>菜谱要求</w:t>
      </w:r>
    </w:p>
    <w:p w14:paraId="3234666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（1）根据</w:t>
      </w:r>
      <w:r>
        <w:rPr>
          <w:rFonts w:hint="eastAsia" w:ascii="仿宋" w:hAnsi="仿宋" w:eastAsia="仿宋" w:cs="仿宋"/>
          <w:sz w:val="28"/>
          <w:szCs w:val="36"/>
          <w:lang w:val="en-US" w:eastAsia="zh-CN"/>
        </w:rPr>
        <w:t>甲方</w:t>
      </w:r>
      <w:r>
        <w:rPr>
          <w:rFonts w:hint="eastAsia" w:ascii="仿宋" w:hAnsi="仿宋" w:eastAsia="仿宋" w:cs="仿宋"/>
          <w:sz w:val="28"/>
          <w:szCs w:val="36"/>
        </w:rPr>
        <w:t>要求，</w:t>
      </w:r>
      <w:r>
        <w:rPr>
          <w:rFonts w:hint="eastAsia" w:ascii="仿宋" w:hAnsi="仿宋" w:eastAsia="仿宋" w:cs="仿宋"/>
          <w:sz w:val="28"/>
          <w:szCs w:val="36"/>
          <w:lang w:val="en-US" w:eastAsia="zh-CN"/>
        </w:rPr>
        <w:t>乙方</w:t>
      </w:r>
      <w:r>
        <w:rPr>
          <w:rFonts w:hint="eastAsia" w:ascii="仿宋" w:hAnsi="仿宋" w:eastAsia="仿宋" w:cs="仿宋"/>
          <w:sz w:val="28"/>
          <w:szCs w:val="36"/>
        </w:rPr>
        <w:t>应提前制定每周菜谱，每餐菜式尽量丰富，要求全荤菜（大荤菜）、荤素菜（小荤菜）、素菜的菜式配备合理。合理编排食谱，做到营养搭配，根据季节经常增加和变换花色品种，品种应力求多样化，同时做到一菜多</w:t>
      </w:r>
      <w:r>
        <w:rPr>
          <w:rFonts w:hint="eastAsia" w:ascii="仿宋" w:hAnsi="仿宋" w:eastAsia="仿宋" w:cs="仿宋"/>
          <w:sz w:val="28"/>
          <w:szCs w:val="36"/>
          <w:lang w:val="en-US" w:eastAsia="zh-CN"/>
        </w:rPr>
        <w:t>样</w:t>
      </w:r>
      <w:r>
        <w:rPr>
          <w:rFonts w:hint="eastAsia" w:ascii="仿宋" w:hAnsi="仿宋" w:eastAsia="仿宋" w:cs="仿宋"/>
          <w:sz w:val="28"/>
          <w:szCs w:val="36"/>
        </w:rPr>
        <w:t>的做法，以满足不同地方人员的口味。要求一周菜品基本不重复，兼顾大众口味，根据季节经常增加和变换花色品种。</w:t>
      </w:r>
    </w:p>
    <w:p w14:paraId="402A13A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val="en-US" w:eastAsia="zh-CN"/>
        </w:rPr>
        <w:t>乙方</w:t>
      </w:r>
      <w:r>
        <w:rPr>
          <w:rFonts w:hint="eastAsia" w:ascii="仿宋" w:hAnsi="仿宋" w:eastAsia="仿宋" w:cs="仿宋"/>
          <w:sz w:val="28"/>
          <w:szCs w:val="36"/>
        </w:rPr>
        <w:t>应按照</w:t>
      </w:r>
      <w:r>
        <w:rPr>
          <w:rFonts w:hint="eastAsia" w:ascii="仿宋" w:hAnsi="仿宋" w:eastAsia="仿宋" w:cs="仿宋"/>
          <w:sz w:val="28"/>
          <w:szCs w:val="36"/>
          <w:lang w:val="en-US" w:eastAsia="zh-CN"/>
        </w:rPr>
        <w:t>甲方</w:t>
      </w:r>
      <w:r>
        <w:rPr>
          <w:rFonts w:hint="eastAsia" w:ascii="仿宋" w:hAnsi="仿宋" w:eastAsia="仿宋" w:cs="仿宋"/>
          <w:sz w:val="28"/>
          <w:szCs w:val="36"/>
        </w:rPr>
        <w:t>要求每周提供员工用餐菜谱，在本周五前提供下一周</w:t>
      </w:r>
      <w:r>
        <w:rPr>
          <w:rFonts w:hint="eastAsia" w:ascii="仿宋" w:hAnsi="仿宋" w:eastAsia="仿宋" w:cs="仿宋"/>
          <w:sz w:val="28"/>
          <w:szCs w:val="36"/>
          <w:lang w:val="en-US" w:eastAsia="zh-CN"/>
        </w:rPr>
        <w:t>菜谱</w:t>
      </w:r>
      <w:r>
        <w:rPr>
          <w:rFonts w:hint="eastAsia" w:ascii="仿宋" w:hAnsi="仿宋" w:eastAsia="仿宋" w:cs="仿宋"/>
          <w:sz w:val="28"/>
          <w:szCs w:val="36"/>
        </w:rPr>
        <w:t>给</w:t>
      </w:r>
      <w:r>
        <w:rPr>
          <w:rFonts w:hint="eastAsia" w:ascii="仿宋" w:hAnsi="仿宋" w:eastAsia="仿宋" w:cs="仿宋"/>
          <w:sz w:val="28"/>
          <w:szCs w:val="36"/>
          <w:lang w:val="en-US" w:eastAsia="zh-CN"/>
        </w:rPr>
        <w:t>甲方</w:t>
      </w:r>
      <w:r>
        <w:rPr>
          <w:rFonts w:hint="eastAsia" w:ascii="仿宋" w:hAnsi="仿宋" w:eastAsia="仿宋" w:cs="仿宋"/>
          <w:sz w:val="28"/>
          <w:szCs w:val="36"/>
        </w:rPr>
        <w:t>审核，经审核确定后不得随意进行调整。</w:t>
      </w:r>
    </w:p>
    <w:p w14:paraId="0DF5465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cs="仿宋"/>
          <w:sz w:val="28"/>
          <w:szCs w:val="36"/>
          <w:lang w:val="en-US" w:eastAsia="zh-CN"/>
        </w:rPr>
        <w:t>乙方</w:t>
      </w:r>
      <w:r>
        <w:rPr>
          <w:rFonts w:hint="eastAsia" w:ascii="仿宋" w:hAnsi="仿宋" w:eastAsia="仿宋" w:cs="仿宋"/>
          <w:sz w:val="28"/>
          <w:szCs w:val="36"/>
        </w:rPr>
        <w:t>须将每周菜谱在饭堂信息栏公布。</w:t>
      </w:r>
    </w:p>
    <w:p w14:paraId="630EA34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（4）菜</w:t>
      </w:r>
      <w:r>
        <w:rPr>
          <w:rFonts w:hint="eastAsia" w:ascii="仿宋" w:hAnsi="仿宋" w:eastAsia="仿宋" w:cs="仿宋"/>
          <w:sz w:val="28"/>
          <w:szCs w:val="36"/>
          <w:lang w:eastAsia="zh-CN"/>
        </w:rPr>
        <w:t>品</w:t>
      </w:r>
      <w:r>
        <w:rPr>
          <w:rFonts w:hint="eastAsia" w:ascii="仿宋" w:hAnsi="仿宋" w:eastAsia="仿宋" w:cs="仿宋"/>
          <w:sz w:val="28"/>
          <w:szCs w:val="36"/>
        </w:rPr>
        <w:t>服务创新：保存反映良好的菜品，每月研发新菜</w:t>
      </w:r>
      <w:r>
        <w:rPr>
          <w:rFonts w:hint="eastAsia" w:ascii="仿宋" w:hAnsi="仿宋" w:eastAsia="仿宋" w:cs="仿宋"/>
          <w:sz w:val="28"/>
          <w:szCs w:val="36"/>
          <w:lang w:val="en-US" w:eastAsia="zh-CN"/>
        </w:rPr>
        <w:t>品</w:t>
      </w:r>
      <w:r>
        <w:rPr>
          <w:rFonts w:hint="eastAsia" w:ascii="仿宋" w:hAnsi="仿宋" w:eastAsia="仿宋" w:cs="仿宋"/>
          <w:sz w:val="28"/>
          <w:szCs w:val="36"/>
        </w:rPr>
        <w:t>。根据比选人要求，适当推出</w:t>
      </w:r>
      <w:r>
        <w:rPr>
          <w:rFonts w:hint="eastAsia" w:ascii="仿宋" w:hAnsi="仿宋" w:eastAsia="仿宋" w:cs="仿宋"/>
          <w:sz w:val="28"/>
          <w:szCs w:val="36"/>
          <w:lang w:val="en-US" w:eastAsia="zh-CN"/>
        </w:rPr>
        <w:t>新菜品</w:t>
      </w:r>
      <w:r>
        <w:rPr>
          <w:rFonts w:hint="eastAsia" w:ascii="仿宋" w:hAnsi="仿宋" w:eastAsia="仿宋" w:cs="仿宋"/>
          <w:sz w:val="28"/>
          <w:szCs w:val="36"/>
        </w:rPr>
        <w:t>。</w:t>
      </w:r>
    </w:p>
    <w:p w14:paraId="7E2D427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4. </w:t>
      </w:r>
      <w:r>
        <w:rPr>
          <w:rFonts w:hint="eastAsia" w:ascii="仿宋" w:hAnsi="仿宋" w:eastAsia="仿宋" w:cs="仿宋"/>
          <w:sz w:val="28"/>
          <w:szCs w:val="36"/>
        </w:rPr>
        <w:t>品种要求</w:t>
      </w:r>
    </w:p>
    <w:p w14:paraId="3EA10DC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eastAsia="zh-CN"/>
        </w:rPr>
        <w:t>（1）</w:t>
      </w:r>
      <w:r>
        <w:rPr>
          <w:rFonts w:hint="eastAsia" w:ascii="仿宋" w:hAnsi="仿宋" w:eastAsia="仿宋" w:cs="仿宋"/>
          <w:sz w:val="28"/>
          <w:szCs w:val="36"/>
        </w:rPr>
        <w:t>早餐：配置种类包含包子、卷子、馒头、豆浆、油条、稀饭、豆浆、牛奶、粉、面、饺子、煎鸡蛋、水煮蛋、花生米、酸菜等；</w:t>
      </w:r>
    </w:p>
    <w:p w14:paraId="6947109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eastAsia="zh-CN"/>
        </w:rPr>
        <w:t>（2）</w:t>
      </w:r>
      <w:r>
        <w:rPr>
          <w:rFonts w:hint="eastAsia" w:ascii="仿宋" w:hAnsi="仿宋" w:eastAsia="仿宋" w:cs="仿宋"/>
          <w:sz w:val="28"/>
          <w:szCs w:val="36"/>
          <w:lang w:val="en-US" w:eastAsia="zh-CN"/>
        </w:rPr>
        <w:t>中</w:t>
      </w:r>
      <w:r>
        <w:rPr>
          <w:rFonts w:hint="eastAsia" w:ascii="仿宋" w:hAnsi="仿宋" w:eastAsia="仿宋" w:cs="仿宋"/>
          <w:sz w:val="28"/>
          <w:szCs w:val="36"/>
        </w:rPr>
        <w:t>餐：每餐配置菜品不少于</w:t>
      </w:r>
      <w:r>
        <w:rPr>
          <w:rFonts w:hint="eastAsia" w:ascii="仿宋" w:hAnsi="仿宋" w:eastAsia="仿宋" w:cs="仿宋"/>
          <w:sz w:val="28"/>
          <w:szCs w:val="36"/>
          <w:lang w:val="en-US" w:eastAsia="zh-CN"/>
        </w:rPr>
        <w:t>6</w:t>
      </w:r>
      <w:r>
        <w:rPr>
          <w:rFonts w:hint="eastAsia" w:ascii="仿宋" w:hAnsi="仿宋" w:eastAsia="仿宋" w:cs="仿宋"/>
          <w:sz w:val="28"/>
          <w:szCs w:val="36"/>
        </w:rPr>
        <w:t>个品种（</w:t>
      </w:r>
      <w:r>
        <w:rPr>
          <w:rFonts w:hint="eastAsia" w:ascii="仿宋" w:hAnsi="仿宋" w:eastAsia="仿宋" w:cs="仿宋"/>
          <w:sz w:val="28"/>
          <w:szCs w:val="36"/>
          <w:lang w:val="en-US" w:eastAsia="zh-CN"/>
        </w:rPr>
        <w:t>不含</w:t>
      </w:r>
      <w:r>
        <w:rPr>
          <w:rFonts w:hint="eastAsia" w:ascii="仿宋" w:hAnsi="仿宋" w:eastAsia="仿宋" w:cs="仿宋"/>
          <w:sz w:val="28"/>
          <w:szCs w:val="36"/>
        </w:rPr>
        <w:t>汤）。</w:t>
      </w:r>
    </w:p>
    <w:p w14:paraId="7EACED5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5</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员工食堂工作区域（厨房）卫生及餐具管理要求</w:t>
      </w:r>
    </w:p>
    <w:p w14:paraId="0895368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（1）保持餐具、厨具和操作间卫生干净整洁，餐具用后应彻底清洗并及时消毒，平时存放在消毒柜中；保持干净整洁；</w:t>
      </w:r>
    </w:p>
    <w:p w14:paraId="14B86B2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（2）生、熟菜板（刀）要分开，不能混用；操作间每</w:t>
      </w:r>
      <w:r>
        <w:rPr>
          <w:rFonts w:hint="eastAsia" w:ascii="仿宋" w:hAnsi="仿宋" w:eastAsia="仿宋" w:cs="仿宋"/>
          <w:sz w:val="28"/>
          <w:szCs w:val="36"/>
          <w:lang w:val="en-US" w:eastAsia="zh-CN"/>
        </w:rPr>
        <w:t>周星期五</w:t>
      </w:r>
      <w:r>
        <w:rPr>
          <w:rFonts w:hint="eastAsia" w:ascii="仿宋" w:hAnsi="仿宋" w:eastAsia="仿宋" w:cs="仿宋"/>
          <w:sz w:val="28"/>
          <w:szCs w:val="36"/>
        </w:rPr>
        <w:t>彻底清理擦洗1次；</w:t>
      </w:r>
    </w:p>
    <w:p w14:paraId="512EBCB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（3）餐具厨具不得外借；严防食物中毒。</w:t>
      </w:r>
    </w:p>
    <w:p w14:paraId="2C1E236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6</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员工食堂工作区域（厨房）安全及炊具管理要求 </w:t>
      </w:r>
    </w:p>
    <w:p w14:paraId="326D9BE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（1）使用炊事器具或用具要严格遵守操作规程，防止事故发生。 </w:t>
      </w:r>
    </w:p>
    <w:p w14:paraId="4587E97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严禁</w:t>
      </w:r>
      <w:r>
        <w:rPr>
          <w:rFonts w:hint="eastAsia" w:ascii="仿宋" w:hAnsi="仿宋" w:eastAsia="仿宋" w:cs="仿宋"/>
          <w:sz w:val="28"/>
          <w:szCs w:val="36"/>
        </w:rPr>
        <w:t>非工作人员进入厨房和保管室，易燃、易爆物品要严格按规定放置，杜绝意外事故发生。 </w:t>
      </w:r>
    </w:p>
    <w:p w14:paraId="4361C11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 xml:space="preserve">（3）定期对炊事器具、特别是煤气灶定期进行维护。 </w:t>
      </w:r>
    </w:p>
    <w:p w14:paraId="3363B26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（4）食堂工作人员下班前，要关好门窗，关闭电源开关，</w:t>
      </w:r>
      <w:r>
        <w:rPr>
          <w:rFonts w:hint="eastAsia" w:ascii="仿宋" w:hAnsi="仿宋" w:eastAsia="仿宋" w:cs="仿宋"/>
          <w:sz w:val="28"/>
          <w:szCs w:val="36"/>
          <w:lang w:val="en-US" w:eastAsia="zh-CN"/>
        </w:rPr>
        <w:t>燃</w:t>
      </w:r>
      <w:r>
        <w:rPr>
          <w:rFonts w:hint="eastAsia" w:ascii="仿宋" w:hAnsi="仿宋" w:eastAsia="仿宋" w:cs="仿宋"/>
          <w:sz w:val="28"/>
          <w:szCs w:val="36"/>
        </w:rPr>
        <w:t>气开关等，管理人员要经常督促、检查，做好</w:t>
      </w:r>
      <w:r>
        <w:rPr>
          <w:rFonts w:hint="eastAsia" w:ascii="仿宋" w:hAnsi="仿宋" w:eastAsia="仿宋" w:cs="仿宋"/>
          <w:sz w:val="28"/>
          <w:szCs w:val="36"/>
          <w:lang w:val="en-US" w:eastAsia="zh-CN"/>
        </w:rPr>
        <w:t>安全和</w:t>
      </w:r>
      <w:r>
        <w:rPr>
          <w:rFonts w:hint="eastAsia" w:ascii="仿宋" w:hAnsi="仿宋" w:eastAsia="仿宋" w:cs="仿宋"/>
          <w:sz w:val="28"/>
          <w:szCs w:val="36"/>
        </w:rPr>
        <w:t>防盗工作。 </w:t>
      </w:r>
    </w:p>
    <w:p w14:paraId="7019A4F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7</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就餐区域卫生管理要求</w:t>
      </w:r>
    </w:p>
    <w:p w14:paraId="4B100CC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（1）餐厅保持整洁、干净。窗明几净，物见本色，无灰尘、无污渍，清扫擦拭及时彻底。</w:t>
      </w:r>
    </w:p>
    <w:p w14:paraId="28E766C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（2）每次用餐完毕后，工作人员需及时打扫卫生、清理垃圾。每周集中进行彻底清扫一遍；包括地面、墙壁、窗户、座椅等，保证始终达到灭鼠灭蝇标准。</w:t>
      </w:r>
    </w:p>
    <w:p w14:paraId="0A17A1E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8</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仓库管理及食品储存要求</w:t>
      </w:r>
    </w:p>
    <w:p w14:paraId="0E1F7B7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（1）仓库应保持干燥，不漏雨、不渗水、要防鼠防虫防霉防蟑螂，并严格控制库存的质和量。</w:t>
      </w:r>
    </w:p>
    <w:p w14:paraId="399182F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（2）蔬菜应在货架上摊摆，不得挤压，防止闷烂。</w:t>
      </w:r>
    </w:p>
    <w:p w14:paraId="6FF5D6E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（3）食品按照先进先出、生熟分开的原则分类贮存，并有明显标识、不得混放和乱堆，以免串味、走味或变质。</w:t>
      </w:r>
    </w:p>
    <w:p w14:paraId="4B1B87A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（4）鱼肉蛋禽类购入后，除当顿食用外，均要冰箱内存放。</w:t>
      </w:r>
    </w:p>
    <w:p w14:paraId="18F2BB8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（5）不得将霉变、腐烂、虫蛀、有毒、超过保质期的食品进行烹制和配餐，防止食物中毒。 </w:t>
      </w:r>
    </w:p>
    <w:p w14:paraId="2E1F20F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9</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人员配备要求</w:t>
      </w:r>
    </w:p>
    <w:p w14:paraId="4667B59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人员配备数量</w:t>
      </w:r>
      <w:r>
        <w:rPr>
          <w:rFonts w:hint="eastAsia" w:ascii="仿宋" w:hAnsi="仿宋" w:eastAsia="仿宋" w:cs="仿宋"/>
          <w:sz w:val="28"/>
          <w:szCs w:val="36"/>
          <w:lang w:eastAsia="zh-CN"/>
        </w:rPr>
        <w:t>：</w:t>
      </w:r>
      <w:r>
        <w:rPr>
          <w:rFonts w:hint="eastAsia" w:ascii="仿宋" w:hAnsi="仿宋" w:eastAsia="仿宋" w:cs="仿宋"/>
          <w:sz w:val="28"/>
          <w:szCs w:val="36"/>
        </w:rPr>
        <w:t>食堂配备工作人员日在岗人数不少于12人，包括厨师长（主管）、厨师、白案、</w:t>
      </w:r>
      <w:r>
        <w:rPr>
          <w:rFonts w:hint="eastAsia" w:ascii="仿宋" w:hAnsi="仿宋" w:eastAsia="仿宋" w:cs="仿宋"/>
          <w:sz w:val="28"/>
          <w:szCs w:val="36"/>
          <w:lang w:val="en-US" w:eastAsia="zh-CN"/>
        </w:rPr>
        <w:t>切配</w:t>
      </w:r>
      <w:r>
        <w:rPr>
          <w:rFonts w:hint="eastAsia" w:ascii="仿宋" w:hAnsi="仿宋" w:eastAsia="仿宋" w:cs="仿宋"/>
          <w:sz w:val="28"/>
          <w:szCs w:val="36"/>
        </w:rPr>
        <w:t>、服务员</w:t>
      </w:r>
      <w:r>
        <w:rPr>
          <w:rFonts w:hint="eastAsia" w:ascii="仿宋" w:hAnsi="仿宋" w:eastAsia="仿宋" w:cs="仿宋"/>
          <w:sz w:val="28"/>
          <w:szCs w:val="36"/>
          <w:lang w:val="en-US" w:eastAsia="zh-CN"/>
        </w:rPr>
        <w:t>及勤杂工</w:t>
      </w:r>
      <w:r>
        <w:rPr>
          <w:rFonts w:hint="eastAsia" w:ascii="仿宋" w:hAnsi="仿宋" w:eastAsia="仿宋" w:cs="仿宋"/>
          <w:sz w:val="28"/>
          <w:szCs w:val="36"/>
        </w:rPr>
        <w:t>等，</w:t>
      </w:r>
      <w:r>
        <w:rPr>
          <w:rFonts w:hint="eastAsia" w:ascii="仿宋" w:hAnsi="仿宋" w:eastAsia="仿宋" w:cs="仿宋"/>
          <w:sz w:val="28"/>
          <w:szCs w:val="36"/>
          <w:lang w:val="en-US" w:eastAsia="zh-CN"/>
        </w:rPr>
        <w:t>乙方</w:t>
      </w:r>
      <w:r>
        <w:rPr>
          <w:rFonts w:hint="eastAsia" w:ascii="仿宋" w:hAnsi="仿宋" w:eastAsia="仿宋" w:cs="仿宋"/>
          <w:sz w:val="28"/>
          <w:szCs w:val="36"/>
        </w:rPr>
        <w:t>可根据具体工作需要调整。要求配备人员身体健康，不得有传染病，男性年龄在</w:t>
      </w:r>
      <w:r>
        <w:rPr>
          <w:rFonts w:hint="eastAsia" w:ascii="仿宋" w:hAnsi="仿宋" w:eastAsia="仿宋" w:cs="仿宋"/>
          <w:sz w:val="28"/>
          <w:szCs w:val="36"/>
          <w:lang w:val="en-US" w:eastAsia="zh-CN"/>
        </w:rPr>
        <w:t>合同期内不超过</w:t>
      </w:r>
      <w:r>
        <w:rPr>
          <w:rFonts w:hint="eastAsia" w:ascii="仿宋" w:hAnsi="仿宋" w:eastAsia="仿宋" w:cs="仿宋"/>
          <w:sz w:val="28"/>
          <w:szCs w:val="36"/>
        </w:rPr>
        <w:t>60周岁，女性年龄在</w:t>
      </w:r>
      <w:r>
        <w:rPr>
          <w:rFonts w:hint="eastAsia" w:ascii="仿宋" w:hAnsi="仿宋" w:eastAsia="仿宋" w:cs="仿宋"/>
          <w:sz w:val="28"/>
          <w:szCs w:val="36"/>
          <w:lang w:val="en-US" w:eastAsia="zh-CN"/>
        </w:rPr>
        <w:t>合同期内不超过</w:t>
      </w:r>
      <w:r>
        <w:rPr>
          <w:rFonts w:hint="eastAsia" w:ascii="仿宋" w:hAnsi="仿宋" w:eastAsia="仿宋" w:cs="仿宋"/>
          <w:sz w:val="28"/>
          <w:szCs w:val="36"/>
        </w:rPr>
        <w:t>55周岁（特殊岗位有另行要求除外）。其中：</w:t>
      </w:r>
    </w:p>
    <w:p w14:paraId="5CC5EE3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（1）厨师长（即主管）1名，男</w:t>
      </w:r>
      <w:r>
        <w:rPr>
          <w:rFonts w:hint="eastAsia" w:ascii="仿宋" w:hAnsi="仿宋" w:eastAsia="仿宋" w:cs="仿宋"/>
          <w:sz w:val="28"/>
          <w:szCs w:val="36"/>
          <w:lang w:val="en-US" w:eastAsia="zh-CN"/>
        </w:rPr>
        <w:t>女不限</w:t>
      </w:r>
      <w:r>
        <w:rPr>
          <w:rFonts w:hint="eastAsia" w:ascii="仿宋" w:hAnsi="仿宋" w:eastAsia="仿宋" w:cs="仿宋"/>
          <w:sz w:val="28"/>
          <w:szCs w:val="36"/>
        </w:rPr>
        <w:t>，有5年以上相关工作经验，持三级及以上厨师证；</w:t>
      </w:r>
    </w:p>
    <w:p w14:paraId="481DE35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（2）厨师3名，男女不限，从事厨师工作</w:t>
      </w:r>
      <w:r>
        <w:rPr>
          <w:rFonts w:hint="eastAsia" w:ascii="仿宋" w:hAnsi="仿宋" w:eastAsia="仿宋" w:cs="仿宋"/>
          <w:sz w:val="28"/>
          <w:szCs w:val="36"/>
          <w:lang w:eastAsia="zh-CN"/>
        </w:rPr>
        <w:t>至少3年</w:t>
      </w:r>
      <w:r>
        <w:rPr>
          <w:rFonts w:hint="eastAsia" w:ascii="仿宋" w:hAnsi="仿宋" w:eastAsia="仿宋" w:cs="仿宋"/>
          <w:sz w:val="28"/>
          <w:szCs w:val="36"/>
        </w:rPr>
        <w:t>经验，</w:t>
      </w:r>
      <w:r>
        <w:rPr>
          <w:rFonts w:hint="eastAsia" w:ascii="仿宋" w:hAnsi="仿宋" w:eastAsia="仿宋" w:cs="仿宋"/>
          <w:sz w:val="28"/>
          <w:szCs w:val="36"/>
          <w:lang w:val="en-US" w:eastAsia="zh-CN"/>
        </w:rPr>
        <w:t>持有</w:t>
      </w:r>
      <w:r>
        <w:rPr>
          <w:rFonts w:hint="eastAsia" w:ascii="仿宋" w:hAnsi="仿宋" w:eastAsia="仿宋" w:cs="仿宋"/>
          <w:sz w:val="28"/>
          <w:szCs w:val="36"/>
        </w:rPr>
        <w:t>厨师证；</w:t>
      </w:r>
    </w:p>
    <w:p w14:paraId="7C44D7E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（3）白案师傅1名，男女不限，有</w:t>
      </w:r>
      <w:r>
        <w:rPr>
          <w:rFonts w:hint="eastAsia" w:ascii="仿宋" w:hAnsi="仿宋" w:eastAsia="仿宋" w:cs="仿宋"/>
          <w:sz w:val="28"/>
          <w:szCs w:val="36"/>
          <w:lang w:val="en-US" w:eastAsia="zh-CN"/>
        </w:rPr>
        <w:t>3</w:t>
      </w:r>
      <w:r>
        <w:rPr>
          <w:rFonts w:hint="eastAsia" w:ascii="仿宋" w:hAnsi="仿宋" w:eastAsia="仿宋" w:cs="仿宋"/>
          <w:sz w:val="28"/>
          <w:szCs w:val="36"/>
        </w:rPr>
        <w:t>年</w:t>
      </w:r>
      <w:r>
        <w:rPr>
          <w:rFonts w:hint="eastAsia" w:ascii="仿宋" w:hAnsi="仿宋" w:eastAsia="仿宋" w:cs="仿宋"/>
          <w:sz w:val="28"/>
          <w:szCs w:val="36"/>
          <w:lang w:val="en-US" w:eastAsia="zh-CN"/>
        </w:rPr>
        <w:t>以上</w:t>
      </w:r>
      <w:r>
        <w:rPr>
          <w:rFonts w:hint="eastAsia" w:ascii="仿宋" w:hAnsi="仿宋" w:eastAsia="仿宋" w:cs="仿宋"/>
          <w:sz w:val="28"/>
          <w:szCs w:val="36"/>
        </w:rPr>
        <w:t>工作经验，</w:t>
      </w:r>
      <w:r>
        <w:rPr>
          <w:rFonts w:hint="eastAsia" w:ascii="仿宋" w:hAnsi="仿宋" w:eastAsia="仿宋" w:cs="仿宋"/>
          <w:sz w:val="28"/>
          <w:szCs w:val="36"/>
          <w:lang w:val="en-US" w:eastAsia="zh-CN"/>
        </w:rPr>
        <w:t>持</w:t>
      </w:r>
      <w:r>
        <w:rPr>
          <w:rFonts w:hint="eastAsia" w:ascii="仿宋" w:hAnsi="仿宋" w:eastAsia="仿宋" w:cs="仿宋"/>
          <w:sz w:val="28"/>
          <w:szCs w:val="36"/>
        </w:rPr>
        <w:t>三级/高级面点师职业资格证书；</w:t>
      </w:r>
    </w:p>
    <w:p w14:paraId="72002CA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（4）</w:t>
      </w:r>
      <w:r>
        <w:rPr>
          <w:rFonts w:hint="eastAsia" w:ascii="仿宋" w:hAnsi="仿宋" w:eastAsia="仿宋" w:cs="仿宋"/>
          <w:sz w:val="28"/>
          <w:szCs w:val="36"/>
          <w:lang w:val="en-US" w:eastAsia="zh-CN"/>
        </w:rPr>
        <w:t>切配</w:t>
      </w:r>
      <w:r>
        <w:rPr>
          <w:rFonts w:hint="eastAsia" w:ascii="仿宋" w:hAnsi="仿宋" w:eastAsia="仿宋" w:cs="仿宋"/>
          <w:sz w:val="28"/>
          <w:szCs w:val="36"/>
        </w:rPr>
        <w:t>工1名，男女不限，有3 年及以上相关工作经验；</w:t>
      </w:r>
    </w:p>
    <w:p w14:paraId="0D7AE23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（5）服务员2名：女性，年龄</w:t>
      </w:r>
      <w:r>
        <w:rPr>
          <w:rFonts w:hint="eastAsia" w:ascii="仿宋" w:hAnsi="仿宋" w:eastAsia="仿宋" w:cs="仿宋"/>
          <w:sz w:val="28"/>
          <w:szCs w:val="36"/>
          <w:lang w:val="en-US" w:eastAsia="zh-CN"/>
        </w:rPr>
        <w:t>不超过</w:t>
      </w:r>
      <w:r>
        <w:rPr>
          <w:rFonts w:hint="eastAsia" w:ascii="仿宋" w:hAnsi="仿宋" w:eastAsia="仿宋" w:cs="仿宋"/>
          <w:sz w:val="28"/>
          <w:szCs w:val="36"/>
        </w:rPr>
        <w:t>45岁</w:t>
      </w:r>
      <w:r>
        <w:rPr>
          <w:rFonts w:hint="eastAsia" w:ascii="仿宋" w:hAnsi="仿宋" w:eastAsia="仿宋" w:cs="仿宋"/>
          <w:sz w:val="28"/>
          <w:szCs w:val="36"/>
          <w:lang w:val="en-US" w:eastAsia="zh-CN"/>
        </w:rPr>
        <w:t>周岁</w:t>
      </w:r>
      <w:r>
        <w:rPr>
          <w:rFonts w:hint="eastAsia" w:ascii="仿宋" w:hAnsi="仿宋" w:eastAsia="仿宋" w:cs="仿宋"/>
          <w:sz w:val="28"/>
          <w:szCs w:val="36"/>
        </w:rPr>
        <w:t>，五官端正，</w:t>
      </w:r>
      <w:r>
        <w:rPr>
          <w:rFonts w:hint="eastAsia" w:ascii="仿宋" w:hAnsi="仿宋" w:eastAsia="仿宋" w:cs="仿宋"/>
          <w:sz w:val="28"/>
          <w:szCs w:val="36"/>
          <w:lang w:val="en-US" w:eastAsia="zh-CN"/>
        </w:rPr>
        <w:t>沟通能力强，</w:t>
      </w:r>
      <w:r>
        <w:rPr>
          <w:rFonts w:hint="eastAsia" w:ascii="仿宋" w:hAnsi="仿宋" w:eastAsia="仿宋" w:cs="仿宋"/>
          <w:sz w:val="28"/>
          <w:szCs w:val="36"/>
        </w:rPr>
        <w:t>身体健康且有相关工作经验；</w:t>
      </w:r>
    </w:p>
    <w:p w14:paraId="2883989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（6）</w:t>
      </w:r>
      <w:r>
        <w:rPr>
          <w:rFonts w:hint="eastAsia" w:ascii="仿宋" w:hAnsi="仿宋" w:eastAsia="仿宋" w:cs="仿宋"/>
          <w:sz w:val="28"/>
          <w:szCs w:val="36"/>
          <w:lang w:val="en-US" w:eastAsia="zh-CN"/>
        </w:rPr>
        <w:t>勤杂</w:t>
      </w:r>
      <w:r>
        <w:rPr>
          <w:rFonts w:hint="eastAsia" w:ascii="仿宋" w:hAnsi="仿宋" w:eastAsia="仿宋" w:cs="仿宋"/>
          <w:sz w:val="28"/>
          <w:szCs w:val="36"/>
        </w:rPr>
        <w:t>工</w:t>
      </w:r>
      <w:r>
        <w:rPr>
          <w:rFonts w:hint="eastAsia" w:ascii="仿宋" w:hAnsi="仿宋" w:eastAsia="仿宋" w:cs="仿宋"/>
          <w:sz w:val="28"/>
          <w:szCs w:val="36"/>
          <w:lang w:val="en-US" w:eastAsia="zh-CN"/>
        </w:rPr>
        <w:t>4</w:t>
      </w:r>
      <w:r>
        <w:rPr>
          <w:rFonts w:hint="eastAsia" w:ascii="仿宋" w:hAnsi="仿宋" w:eastAsia="仿宋" w:cs="仿宋"/>
          <w:sz w:val="28"/>
          <w:szCs w:val="36"/>
        </w:rPr>
        <w:t>名，男女不限</w:t>
      </w: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能胜任本职工作</w:t>
      </w:r>
      <w:r>
        <w:rPr>
          <w:rFonts w:hint="eastAsia" w:ascii="仿宋" w:hAnsi="仿宋" w:eastAsia="仿宋" w:cs="仿宋"/>
          <w:sz w:val="28"/>
          <w:szCs w:val="36"/>
        </w:rPr>
        <w:t>。</w:t>
      </w:r>
    </w:p>
    <w:p w14:paraId="63EF231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10.</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食品质量、安全目标要求</w:t>
      </w:r>
    </w:p>
    <w:p w14:paraId="19ADBA3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（1）客户满意度。</w:t>
      </w:r>
      <w:r>
        <w:rPr>
          <w:rFonts w:hint="eastAsia" w:ascii="仿宋" w:hAnsi="仿宋" w:eastAsia="仿宋" w:cs="仿宋"/>
          <w:sz w:val="28"/>
          <w:szCs w:val="36"/>
          <w:lang w:val="en-US" w:eastAsia="zh-CN"/>
        </w:rPr>
        <w:t>甲方定期</w:t>
      </w:r>
      <w:r>
        <w:rPr>
          <w:rFonts w:hint="eastAsia" w:ascii="仿宋" w:hAnsi="仿宋" w:eastAsia="仿宋" w:cs="仿宋"/>
          <w:sz w:val="28"/>
          <w:szCs w:val="36"/>
        </w:rPr>
        <w:t>组织就餐人员对食堂的满意度进行测评，客户满意度</w:t>
      </w:r>
      <w:r>
        <w:rPr>
          <w:rFonts w:hint="eastAsia" w:ascii="仿宋" w:hAnsi="仿宋" w:eastAsia="仿宋" w:cs="仿宋"/>
          <w:sz w:val="28"/>
          <w:szCs w:val="36"/>
          <w:lang w:val="en-US" w:eastAsia="zh-CN"/>
        </w:rPr>
        <w:t>须</w:t>
      </w:r>
      <w:r>
        <w:rPr>
          <w:rFonts w:hint="eastAsia" w:ascii="仿宋" w:hAnsi="仿宋" w:eastAsia="仿宋" w:cs="仿宋"/>
          <w:sz w:val="28"/>
          <w:szCs w:val="36"/>
        </w:rPr>
        <w:t>≥80分；</w:t>
      </w:r>
      <w:r>
        <w:rPr>
          <w:rFonts w:hint="eastAsia" w:ascii="仿宋" w:hAnsi="仿宋" w:eastAsia="仿宋" w:cs="仿宋"/>
          <w:sz w:val="28"/>
          <w:szCs w:val="36"/>
          <w:lang w:val="en-US" w:eastAsia="zh-CN"/>
        </w:rPr>
        <w:t>若</w:t>
      </w:r>
      <w:r>
        <w:rPr>
          <w:rFonts w:hint="eastAsia" w:ascii="仿宋" w:hAnsi="仿宋" w:eastAsia="仿宋" w:cs="仿宋"/>
          <w:sz w:val="28"/>
          <w:szCs w:val="36"/>
        </w:rPr>
        <w:t>低于80分，则扣除当月劳动服务费的5%；</w:t>
      </w:r>
      <w:r>
        <w:rPr>
          <w:rFonts w:hint="eastAsia" w:ascii="仿宋" w:hAnsi="仿宋" w:eastAsia="仿宋" w:cs="仿宋"/>
          <w:sz w:val="28"/>
          <w:szCs w:val="36"/>
          <w:lang w:val="en-US" w:eastAsia="zh-CN"/>
        </w:rPr>
        <w:t>若</w:t>
      </w:r>
      <w:r>
        <w:rPr>
          <w:rFonts w:hint="eastAsia" w:ascii="仿宋" w:hAnsi="仿宋" w:eastAsia="仿宋" w:cs="仿宋"/>
          <w:sz w:val="28"/>
          <w:szCs w:val="36"/>
        </w:rPr>
        <w:t>低于75分，则扣除当月劳动服务费的10%；</w:t>
      </w:r>
      <w:r>
        <w:rPr>
          <w:rFonts w:hint="eastAsia" w:ascii="仿宋" w:hAnsi="仿宋" w:eastAsia="仿宋" w:cs="仿宋"/>
          <w:sz w:val="28"/>
          <w:szCs w:val="36"/>
          <w:lang w:val="en-US" w:eastAsia="zh-CN"/>
        </w:rPr>
        <w:t>若</w:t>
      </w:r>
      <w:r>
        <w:rPr>
          <w:rFonts w:hint="eastAsia" w:ascii="仿宋" w:hAnsi="仿宋" w:eastAsia="仿宋" w:cs="仿宋"/>
          <w:sz w:val="28"/>
          <w:szCs w:val="36"/>
        </w:rPr>
        <w:t>满意度连续三个月低于60%的，</w:t>
      </w:r>
      <w:r>
        <w:rPr>
          <w:rFonts w:hint="eastAsia" w:ascii="仿宋" w:hAnsi="仿宋" w:eastAsia="仿宋" w:cs="仿宋"/>
          <w:sz w:val="28"/>
          <w:szCs w:val="36"/>
          <w:lang w:eastAsia="zh-CN"/>
        </w:rPr>
        <w:t>甲方</w:t>
      </w:r>
      <w:r>
        <w:rPr>
          <w:rFonts w:hint="eastAsia" w:ascii="仿宋" w:hAnsi="仿宋" w:eastAsia="仿宋" w:cs="仿宋"/>
          <w:sz w:val="28"/>
          <w:szCs w:val="36"/>
        </w:rPr>
        <w:t>有权终止合同。</w:t>
      </w:r>
    </w:p>
    <w:p w14:paraId="4C1847A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rPr>
        <w:t>（2）食品安全。</w:t>
      </w:r>
      <w:r>
        <w:rPr>
          <w:rFonts w:hint="eastAsia" w:ascii="仿宋" w:hAnsi="仿宋" w:eastAsia="仿宋" w:cs="仿宋"/>
          <w:sz w:val="28"/>
          <w:szCs w:val="36"/>
          <w:lang w:eastAsia="zh-CN"/>
        </w:rPr>
        <w:t>若发生食品安全事故，甲乙双方应立即封存相关食品及原料，并配合市场监督管理部门进行调查，以确定事故原因</w:t>
      </w:r>
      <w:r>
        <w:rPr>
          <w:rFonts w:hint="eastAsia" w:ascii="仿宋" w:hAnsi="仿宋" w:eastAsia="仿宋" w:cs="仿宋"/>
          <w:sz w:val="28"/>
          <w:szCs w:val="36"/>
        </w:rPr>
        <w:t>。</w:t>
      </w:r>
      <w:r>
        <w:rPr>
          <w:rFonts w:hint="eastAsia" w:ascii="仿宋" w:hAnsi="仿宋" w:eastAsia="仿宋" w:cs="仿宋"/>
          <w:sz w:val="28"/>
          <w:szCs w:val="36"/>
          <w:lang w:eastAsia="zh-CN"/>
        </w:rPr>
        <w:t>经法定机构最终认定，确属乙方在食品加工、储存、服务等劳务操作环节的过错直接导致的食品安全事故，乙方依法对中毒伤亡人员承担相应的损害赔偿责任。</w:t>
      </w:r>
    </w:p>
    <w:p w14:paraId="677AA28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（3）质量要求。不得有饭菜不熟、开饭不准时、供应量</w:t>
      </w:r>
      <w:r>
        <w:rPr>
          <w:rFonts w:hint="eastAsia" w:ascii="仿宋" w:hAnsi="仿宋" w:eastAsia="仿宋" w:cs="仿宋"/>
          <w:sz w:val="28"/>
          <w:szCs w:val="36"/>
          <w:lang w:val="en-US" w:eastAsia="zh-CN"/>
        </w:rPr>
        <w:t>不足</w:t>
      </w:r>
      <w:r>
        <w:rPr>
          <w:rFonts w:hint="eastAsia" w:ascii="仿宋" w:hAnsi="仿宋" w:eastAsia="仿宋" w:cs="仿宋"/>
          <w:sz w:val="28"/>
          <w:szCs w:val="36"/>
        </w:rPr>
        <w:t>等现象；食物中不得有玻璃、头发、铁丝、石子、小虫等现象。</w:t>
      </w:r>
    </w:p>
    <w:p w14:paraId="61D31AA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（4）安全要求。</w:t>
      </w:r>
      <w:r>
        <w:rPr>
          <w:rFonts w:hint="eastAsia" w:ascii="仿宋" w:hAnsi="仿宋" w:eastAsia="仿宋" w:cs="仿宋"/>
          <w:sz w:val="28"/>
          <w:szCs w:val="36"/>
          <w:lang w:val="en-US" w:eastAsia="zh-CN"/>
        </w:rPr>
        <w:t>乙方</w:t>
      </w:r>
      <w:r>
        <w:rPr>
          <w:rFonts w:hint="eastAsia" w:ascii="仿宋" w:hAnsi="仿宋" w:eastAsia="仿宋" w:cs="仿宋"/>
          <w:sz w:val="28"/>
          <w:szCs w:val="36"/>
        </w:rPr>
        <w:t>负责</w:t>
      </w:r>
      <w:r>
        <w:rPr>
          <w:rFonts w:hint="eastAsia" w:ascii="仿宋" w:hAnsi="仿宋" w:eastAsia="仿宋" w:cs="仿宋"/>
          <w:sz w:val="28"/>
          <w:szCs w:val="36"/>
          <w:lang w:val="en-US" w:eastAsia="zh-CN"/>
        </w:rPr>
        <w:t>本</w:t>
      </w:r>
      <w:r>
        <w:rPr>
          <w:rFonts w:hint="eastAsia" w:ascii="仿宋" w:hAnsi="仿宋" w:eastAsia="仿宋" w:cs="仿宋"/>
          <w:sz w:val="28"/>
          <w:szCs w:val="36"/>
        </w:rPr>
        <w:t>服</w:t>
      </w:r>
      <w:r>
        <w:rPr>
          <w:rFonts w:hint="eastAsia" w:ascii="仿宋" w:hAnsi="仿宋" w:eastAsia="仿宋" w:cs="仿宋"/>
          <w:sz w:val="28"/>
          <w:szCs w:val="36"/>
          <w:lang w:val="en-US" w:eastAsia="zh-CN"/>
        </w:rPr>
        <w:t>务</w:t>
      </w:r>
      <w:r>
        <w:rPr>
          <w:rFonts w:hint="eastAsia" w:ascii="仿宋" w:hAnsi="仿宋" w:eastAsia="仿宋" w:cs="仿宋"/>
          <w:sz w:val="28"/>
          <w:szCs w:val="36"/>
        </w:rPr>
        <w:t>团队的人身安全管理，合同有效期内因</w:t>
      </w:r>
      <w:r>
        <w:rPr>
          <w:rFonts w:hint="eastAsia" w:ascii="仿宋" w:hAnsi="仿宋" w:eastAsia="仿宋" w:cs="仿宋"/>
          <w:sz w:val="28"/>
          <w:szCs w:val="36"/>
          <w:lang w:val="en-US" w:eastAsia="zh-CN"/>
        </w:rPr>
        <w:t>乙方</w:t>
      </w:r>
      <w:r>
        <w:rPr>
          <w:rFonts w:hint="eastAsia" w:ascii="仿宋" w:hAnsi="仿宋" w:eastAsia="仿宋" w:cs="仿宋"/>
          <w:sz w:val="28"/>
          <w:szCs w:val="36"/>
        </w:rPr>
        <w:t>原因出现的人员伤亡事件均由</w:t>
      </w:r>
      <w:r>
        <w:rPr>
          <w:rFonts w:hint="eastAsia" w:ascii="仿宋" w:hAnsi="仿宋" w:eastAsia="仿宋" w:cs="仿宋"/>
          <w:sz w:val="28"/>
          <w:szCs w:val="36"/>
          <w:lang w:val="en-US" w:eastAsia="zh-CN"/>
        </w:rPr>
        <w:t>乙方</w:t>
      </w:r>
      <w:r>
        <w:rPr>
          <w:rFonts w:hint="eastAsia" w:ascii="仿宋" w:hAnsi="仿宋" w:eastAsia="仿宋" w:cs="仿宋"/>
          <w:sz w:val="28"/>
          <w:szCs w:val="36"/>
        </w:rPr>
        <w:t>承担全部责任；</w:t>
      </w:r>
      <w:r>
        <w:rPr>
          <w:rFonts w:hint="eastAsia" w:ascii="仿宋" w:hAnsi="仿宋" w:eastAsia="仿宋" w:cs="仿宋"/>
          <w:sz w:val="28"/>
          <w:szCs w:val="36"/>
          <w:lang w:val="en-US" w:eastAsia="zh-CN"/>
        </w:rPr>
        <w:t>乙方</w:t>
      </w:r>
      <w:r>
        <w:rPr>
          <w:rFonts w:hint="eastAsia" w:ascii="仿宋" w:hAnsi="仿宋" w:eastAsia="仿宋" w:cs="仿宋"/>
          <w:sz w:val="28"/>
          <w:szCs w:val="36"/>
        </w:rPr>
        <w:t>须严格遵守防火、防毒等各种规章制度及行业操作规程，确保厨房、餐厅用餐安全，如因违规操作造成</w:t>
      </w:r>
      <w:r>
        <w:rPr>
          <w:rFonts w:hint="eastAsia" w:ascii="仿宋" w:hAnsi="仿宋" w:eastAsia="仿宋" w:cs="仿宋"/>
          <w:sz w:val="28"/>
          <w:szCs w:val="36"/>
          <w:lang w:eastAsia="zh-CN"/>
        </w:rPr>
        <w:t>的一</w:t>
      </w:r>
      <w:r>
        <w:rPr>
          <w:rFonts w:hint="eastAsia" w:ascii="仿宋" w:hAnsi="仿宋" w:eastAsia="仿宋" w:cs="仿宋"/>
          <w:sz w:val="28"/>
          <w:szCs w:val="36"/>
        </w:rPr>
        <w:t>系列安全事故一概由</w:t>
      </w:r>
      <w:r>
        <w:rPr>
          <w:rFonts w:hint="eastAsia" w:ascii="仿宋" w:hAnsi="仿宋" w:eastAsia="仿宋" w:cs="仿宋"/>
          <w:sz w:val="28"/>
          <w:szCs w:val="36"/>
          <w:lang w:val="en-US" w:eastAsia="zh-CN"/>
        </w:rPr>
        <w:t>乙方</w:t>
      </w:r>
      <w:r>
        <w:rPr>
          <w:rFonts w:hint="eastAsia" w:ascii="仿宋" w:hAnsi="仿宋" w:eastAsia="仿宋" w:cs="仿宋"/>
          <w:sz w:val="28"/>
          <w:szCs w:val="36"/>
        </w:rPr>
        <w:t>负责。</w:t>
      </w:r>
    </w:p>
    <w:p w14:paraId="692094B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11</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人员健康及卫生管理要求</w:t>
      </w:r>
    </w:p>
    <w:p w14:paraId="48FC13A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（1）食堂工作人员必须符合餐饮从业人员健康标准并</w:t>
      </w:r>
      <w:r>
        <w:rPr>
          <w:rFonts w:hint="eastAsia" w:ascii="仿宋" w:hAnsi="仿宋" w:eastAsia="仿宋" w:cs="仿宋"/>
          <w:sz w:val="28"/>
          <w:szCs w:val="36"/>
          <w:lang w:val="en-US" w:eastAsia="zh-CN"/>
        </w:rPr>
        <w:t>持</w:t>
      </w:r>
      <w:r>
        <w:rPr>
          <w:rFonts w:hint="eastAsia" w:ascii="仿宋" w:hAnsi="仿宋" w:eastAsia="仿宋" w:cs="仿宋"/>
          <w:sz w:val="28"/>
          <w:szCs w:val="36"/>
        </w:rPr>
        <w:t>有效健康证。</w:t>
      </w:r>
    </w:p>
    <w:p w14:paraId="76F109E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（2）工作人员</w:t>
      </w:r>
      <w:r>
        <w:rPr>
          <w:rFonts w:hint="eastAsia" w:ascii="仿宋" w:hAnsi="仿宋" w:eastAsia="仿宋" w:cs="仿宋"/>
          <w:sz w:val="28"/>
          <w:szCs w:val="36"/>
          <w:lang w:val="en-US" w:eastAsia="zh-CN"/>
        </w:rPr>
        <w:t>须</w:t>
      </w:r>
      <w:r>
        <w:rPr>
          <w:rFonts w:hint="eastAsia" w:ascii="仿宋" w:hAnsi="仿宋" w:eastAsia="仿宋" w:cs="仿宋"/>
          <w:sz w:val="28"/>
          <w:szCs w:val="36"/>
        </w:rPr>
        <w:t>做好个人卫生，工作期间着统一制式工作衣帽，佩戴口罩，并保持整洁干净，不得留长胡须、长头发（女员工须盘头）、长指甲等。</w:t>
      </w:r>
    </w:p>
    <w:p w14:paraId="7381BA5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（3）患有流行、传染性疾病时应立即报告，暂停接触食物的工作，直到疾病痊愈为止。</w:t>
      </w:r>
    </w:p>
    <w:p w14:paraId="00F586E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（4）食堂工作人员因自身原因影响正常工作开展或导致</w:t>
      </w:r>
      <w:r>
        <w:rPr>
          <w:rFonts w:hint="eastAsia" w:ascii="仿宋" w:hAnsi="仿宋" w:eastAsia="仿宋" w:cs="仿宋"/>
          <w:sz w:val="28"/>
          <w:szCs w:val="36"/>
          <w:lang w:val="en-US" w:eastAsia="zh-CN"/>
        </w:rPr>
        <w:t>甲方</w:t>
      </w:r>
      <w:r>
        <w:rPr>
          <w:rFonts w:hint="eastAsia" w:ascii="仿宋" w:hAnsi="仿宋" w:eastAsia="仿宋" w:cs="仿宋"/>
          <w:sz w:val="28"/>
          <w:szCs w:val="36"/>
        </w:rPr>
        <w:t>利益受损的，</w:t>
      </w:r>
      <w:r>
        <w:rPr>
          <w:rFonts w:hint="eastAsia" w:ascii="仿宋" w:hAnsi="仿宋" w:eastAsia="仿宋" w:cs="仿宋"/>
          <w:sz w:val="28"/>
          <w:szCs w:val="36"/>
          <w:lang w:val="en-US" w:eastAsia="zh-CN"/>
        </w:rPr>
        <w:t>甲方</w:t>
      </w:r>
      <w:r>
        <w:rPr>
          <w:rFonts w:hint="eastAsia" w:ascii="仿宋" w:hAnsi="仿宋" w:eastAsia="仿宋" w:cs="仿宋"/>
          <w:sz w:val="28"/>
          <w:szCs w:val="36"/>
        </w:rPr>
        <w:t>有权责令</w:t>
      </w:r>
      <w:r>
        <w:rPr>
          <w:rFonts w:hint="eastAsia" w:ascii="仿宋" w:hAnsi="仿宋" w:eastAsia="仿宋" w:cs="仿宋"/>
          <w:sz w:val="28"/>
          <w:szCs w:val="36"/>
          <w:lang w:val="en-US" w:eastAsia="zh-CN"/>
        </w:rPr>
        <w:t>乙方</w:t>
      </w:r>
      <w:r>
        <w:rPr>
          <w:rFonts w:hint="eastAsia" w:ascii="仿宋" w:hAnsi="仿宋" w:eastAsia="仿宋" w:cs="仿宋"/>
          <w:sz w:val="28"/>
          <w:szCs w:val="36"/>
        </w:rPr>
        <w:t>限期更换人员。</w:t>
      </w:r>
    </w:p>
    <w:p w14:paraId="269432B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12</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其他要求</w:t>
      </w:r>
    </w:p>
    <w:p w14:paraId="31C1108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val="en-US" w:eastAsia="zh-CN"/>
        </w:rPr>
        <w:t>乙方</w:t>
      </w:r>
      <w:r>
        <w:rPr>
          <w:rFonts w:hint="eastAsia" w:ascii="仿宋" w:hAnsi="仿宋" w:eastAsia="仿宋" w:cs="仿宋"/>
          <w:sz w:val="28"/>
          <w:szCs w:val="36"/>
        </w:rPr>
        <w:t>所聘用人员工作时间用餐由</w:t>
      </w:r>
      <w:r>
        <w:rPr>
          <w:rFonts w:hint="eastAsia" w:ascii="仿宋" w:hAnsi="仿宋" w:eastAsia="仿宋" w:cs="仿宋"/>
          <w:sz w:val="28"/>
          <w:szCs w:val="36"/>
          <w:lang w:val="en-US" w:eastAsia="zh-CN"/>
        </w:rPr>
        <w:t>甲方</w:t>
      </w:r>
      <w:r>
        <w:rPr>
          <w:rFonts w:hint="eastAsia" w:ascii="仿宋" w:hAnsi="仿宋" w:eastAsia="仿宋" w:cs="仿宋"/>
          <w:sz w:val="28"/>
          <w:szCs w:val="36"/>
        </w:rPr>
        <w:t>负责，住宿由</w:t>
      </w:r>
      <w:r>
        <w:rPr>
          <w:rFonts w:hint="eastAsia" w:ascii="仿宋" w:hAnsi="仿宋" w:eastAsia="仿宋" w:cs="仿宋"/>
          <w:sz w:val="28"/>
          <w:szCs w:val="36"/>
          <w:lang w:val="en-US" w:eastAsia="zh-CN"/>
        </w:rPr>
        <w:t>乙方</w:t>
      </w:r>
      <w:r>
        <w:rPr>
          <w:rFonts w:hint="eastAsia" w:ascii="仿宋" w:hAnsi="仿宋" w:eastAsia="仿宋" w:cs="仿宋"/>
          <w:sz w:val="28"/>
          <w:szCs w:val="36"/>
        </w:rPr>
        <w:t>自行负责。</w:t>
      </w:r>
    </w:p>
    <w:p w14:paraId="5C1316D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val="en-US" w:eastAsia="zh-CN"/>
        </w:rPr>
        <w:t>乙方</w:t>
      </w:r>
      <w:r>
        <w:rPr>
          <w:rFonts w:hint="eastAsia" w:ascii="仿宋" w:hAnsi="仿宋" w:eastAsia="仿宋" w:cs="仿宋"/>
          <w:sz w:val="28"/>
          <w:szCs w:val="36"/>
        </w:rPr>
        <w:t>严格按</w:t>
      </w:r>
      <w:r>
        <w:rPr>
          <w:rFonts w:hint="eastAsia" w:ascii="仿宋" w:hAnsi="仿宋" w:eastAsia="仿宋" w:cs="仿宋"/>
          <w:sz w:val="28"/>
          <w:szCs w:val="36"/>
          <w:lang w:val="en-US" w:eastAsia="zh-CN"/>
        </w:rPr>
        <w:t>甲方</w:t>
      </w:r>
      <w:r>
        <w:rPr>
          <w:rFonts w:hint="eastAsia" w:ascii="仿宋" w:hAnsi="仿宋" w:eastAsia="仿宋" w:cs="仿宋"/>
          <w:sz w:val="28"/>
          <w:szCs w:val="36"/>
        </w:rPr>
        <w:t>的要求提供劳务服务，根据</w:t>
      </w:r>
      <w:r>
        <w:rPr>
          <w:rFonts w:hint="eastAsia" w:ascii="仿宋" w:hAnsi="仿宋" w:eastAsia="仿宋" w:cs="仿宋"/>
          <w:sz w:val="28"/>
          <w:szCs w:val="36"/>
          <w:lang w:val="en-US" w:eastAsia="zh-CN"/>
        </w:rPr>
        <w:t>甲方</w:t>
      </w:r>
      <w:r>
        <w:rPr>
          <w:rFonts w:hint="eastAsia" w:ascii="仿宋" w:hAnsi="仿宋" w:eastAsia="仿宋" w:cs="仿宋"/>
          <w:sz w:val="28"/>
          <w:szCs w:val="36"/>
        </w:rPr>
        <w:t>的时间供餐，</w:t>
      </w:r>
      <w:r>
        <w:rPr>
          <w:rFonts w:hint="eastAsia" w:ascii="仿宋" w:hAnsi="仿宋" w:eastAsia="仿宋" w:cs="仿宋"/>
          <w:sz w:val="28"/>
          <w:szCs w:val="36"/>
          <w:lang w:val="en-US" w:eastAsia="zh-CN"/>
        </w:rPr>
        <w:t>甲方</w:t>
      </w:r>
      <w:r>
        <w:rPr>
          <w:rFonts w:hint="eastAsia" w:ascii="仿宋" w:hAnsi="仿宋" w:eastAsia="仿宋" w:cs="仿宋"/>
          <w:sz w:val="28"/>
          <w:szCs w:val="36"/>
        </w:rPr>
        <w:t>若调整作息时间，</w:t>
      </w:r>
      <w:r>
        <w:rPr>
          <w:rFonts w:hint="eastAsia" w:ascii="仿宋" w:hAnsi="仿宋" w:eastAsia="仿宋" w:cs="仿宋"/>
          <w:sz w:val="28"/>
          <w:szCs w:val="36"/>
          <w:lang w:val="en-US" w:eastAsia="zh-CN"/>
        </w:rPr>
        <w:t>乙方</w:t>
      </w:r>
      <w:r>
        <w:rPr>
          <w:rFonts w:hint="eastAsia" w:ascii="仿宋" w:hAnsi="仿宋" w:eastAsia="仿宋" w:cs="仿宋"/>
          <w:sz w:val="28"/>
          <w:szCs w:val="36"/>
        </w:rPr>
        <w:t>应立即配合</w:t>
      </w:r>
      <w:r>
        <w:rPr>
          <w:rFonts w:hint="eastAsia" w:ascii="仿宋" w:hAnsi="仿宋" w:eastAsia="仿宋" w:cs="仿宋"/>
          <w:sz w:val="28"/>
          <w:szCs w:val="36"/>
          <w:lang w:val="en-US" w:eastAsia="zh-CN"/>
        </w:rPr>
        <w:t>甲方</w:t>
      </w:r>
      <w:r>
        <w:rPr>
          <w:rFonts w:hint="eastAsia" w:ascii="仿宋" w:hAnsi="仿宋" w:eastAsia="仿宋" w:cs="仿宋"/>
          <w:sz w:val="28"/>
          <w:szCs w:val="36"/>
        </w:rPr>
        <w:t>调整供餐时间。发生不可预见的情况时，供餐情况需根据</w:t>
      </w:r>
      <w:r>
        <w:rPr>
          <w:rFonts w:hint="eastAsia" w:ascii="仿宋" w:hAnsi="仿宋" w:eastAsia="仿宋" w:cs="仿宋"/>
          <w:sz w:val="28"/>
          <w:szCs w:val="36"/>
          <w:lang w:val="en-US" w:eastAsia="zh-CN"/>
        </w:rPr>
        <w:t>甲方</w:t>
      </w:r>
      <w:r>
        <w:rPr>
          <w:rFonts w:hint="eastAsia" w:ascii="仿宋" w:hAnsi="仿宋" w:eastAsia="仿宋" w:cs="仿宋"/>
          <w:sz w:val="28"/>
          <w:szCs w:val="36"/>
        </w:rPr>
        <w:t>的要求进行调整。</w:t>
      </w:r>
      <w:r>
        <w:rPr>
          <w:rFonts w:hint="eastAsia" w:ascii="仿宋" w:hAnsi="仿宋" w:eastAsia="仿宋" w:cs="仿宋"/>
          <w:sz w:val="28"/>
          <w:szCs w:val="36"/>
          <w:lang w:val="en-US" w:eastAsia="zh-CN"/>
        </w:rPr>
        <w:t>乙方</w:t>
      </w:r>
      <w:r>
        <w:rPr>
          <w:rFonts w:hint="eastAsia" w:ascii="仿宋" w:hAnsi="仿宋" w:eastAsia="仿宋" w:cs="仿宋"/>
          <w:sz w:val="28"/>
          <w:szCs w:val="36"/>
        </w:rPr>
        <w:t>做好</w:t>
      </w:r>
      <w:r>
        <w:rPr>
          <w:rFonts w:hint="eastAsia" w:ascii="仿宋" w:hAnsi="仿宋" w:eastAsia="仿宋" w:cs="仿宋"/>
          <w:sz w:val="28"/>
          <w:szCs w:val="36"/>
          <w:lang w:val="en-US" w:eastAsia="zh-CN"/>
        </w:rPr>
        <w:t>甲方</w:t>
      </w:r>
      <w:r>
        <w:rPr>
          <w:rFonts w:hint="eastAsia" w:ascii="仿宋" w:hAnsi="仿宋" w:eastAsia="仿宋" w:cs="仿宋"/>
          <w:sz w:val="28"/>
          <w:szCs w:val="36"/>
        </w:rPr>
        <w:t>员工用餐及工作（加班）餐的各项准备工作。</w:t>
      </w:r>
    </w:p>
    <w:p w14:paraId="02F1958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w:t>
      </w:r>
      <w:r>
        <w:rPr>
          <w:rFonts w:hint="eastAsia" w:ascii="仿宋" w:hAnsi="仿宋" w:eastAsia="仿宋" w:cs="仿宋"/>
          <w:sz w:val="28"/>
          <w:szCs w:val="36"/>
          <w:lang w:val="en-US" w:eastAsia="zh-CN"/>
        </w:rPr>
        <w:t>3</w:t>
      </w:r>
      <w:r>
        <w:rPr>
          <w:rFonts w:hint="eastAsia" w:ascii="仿宋" w:hAnsi="仿宋" w:eastAsia="仿宋" w:cs="仿宋"/>
          <w:sz w:val="28"/>
          <w:szCs w:val="36"/>
        </w:rPr>
        <w:t>）</w:t>
      </w:r>
      <w:r>
        <w:rPr>
          <w:rFonts w:hint="eastAsia" w:ascii="仿宋" w:hAnsi="仿宋" w:eastAsia="仿宋" w:cs="仿宋"/>
          <w:sz w:val="28"/>
          <w:szCs w:val="36"/>
          <w:lang w:val="en-US" w:eastAsia="zh-CN"/>
        </w:rPr>
        <w:t>乙方</w:t>
      </w:r>
      <w:r>
        <w:rPr>
          <w:rFonts w:hint="eastAsia" w:ascii="仿宋" w:hAnsi="仿宋" w:eastAsia="仿宋" w:cs="仿宋"/>
          <w:sz w:val="28"/>
          <w:szCs w:val="36"/>
        </w:rPr>
        <w:t>及</w:t>
      </w:r>
      <w:r>
        <w:rPr>
          <w:rFonts w:hint="eastAsia" w:ascii="仿宋" w:hAnsi="仿宋" w:eastAsia="仿宋" w:cs="仿宋"/>
          <w:sz w:val="28"/>
          <w:szCs w:val="36"/>
          <w:lang w:val="en-US" w:eastAsia="zh-CN"/>
        </w:rPr>
        <w:t>乙方</w:t>
      </w:r>
      <w:r>
        <w:rPr>
          <w:rFonts w:hint="eastAsia" w:ascii="仿宋" w:hAnsi="仿宋" w:eastAsia="仿宋" w:cs="仿宋"/>
          <w:sz w:val="28"/>
          <w:szCs w:val="36"/>
        </w:rPr>
        <w:t>所聘用人员在服务过程中接触到的任何有关</w:t>
      </w:r>
      <w:r>
        <w:rPr>
          <w:rFonts w:hint="eastAsia" w:ascii="仿宋" w:hAnsi="仿宋" w:eastAsia="仿宋" w:cs="仿宋"/>
          <w:sz w:val="28"/>
          <w:szCs w:val="36"/>
          <w:lang w:val="en-US" w:eastAsia="zh-CN"/>
        </w:rPr>
        <w:t>甲方</w:t>
      </w:r>
      <w:r>
        <w:rPr>
          <w:rFonts w:hint="eastAsia" w:ascii="仿宋" w:hAnsi="仿宋" w:eastAsia="仿宋" w:cs="仿宋"/>
          <w:sz w:val="28"/>
          <w:szCs w:val="36"/>
        </w:rPr>
        <w:t>的情况都应当是保密的。无论在合同的有效期内还是在合同终止以后，</w:t>
      </w:r>
      <w:r>
        <w:rPr>
          <w:rFonts w:hint="eastAsia" w:ascii="仿宋" w:hAnsi="仿宋" w:eastAsia="仿宋" w:cs="仿宋"/>
          <w:sz w:val="28"/>
          <w:szCs w:val="36"/>
          <w:lang w:val="en-US" w:eastAsia="zh-CN"/>
        </w:rPr>
        <w:t>乙方</w:t>
      </w:r>
      <w:r>
        <w:rPr>
          <w:rFonts w:hint="eastAsia" w:ascii="仿宋" w:hAnsi="仿宋" w:eastAsia="仿宋" w:cs="仿宋"/>
          <w:sz w:val="28"/>
          <w:szCs w:val="36"/>
        </w:rPr>
        <w:t>都不得泄露给任何第三方，否则，</w:t>
      </w:r>
      <w:r>
        <w:rPr>
          <w:rFonts w:hint="eastAsia" w:ascii="仿宋" w:hAnsi="仿宋" w:eastAsia="仿宋" w:cs="仿宋"/>
          <w:sz w:val="28"/>
          <w:szCs w:val="36"/>
          <w:lang w:val="en-US" w:eastAsia="zh-CN"/>
        </w:rPr>
        <w:t>乙方</w:t>
      </w:r>
      <w:r>
        <w:rPr>
          <w:rFonts w:hint="eastAsia" w:ascii="仿宋" w:hAnsi="仿宋" w:eastAsia="仿宋" w:cs="仿宋"/>
          <w:sz w:val="28"/>
          <w:szCs w:val="36"/>
        </w:rPr>
        <w:t>应对给</w:t>
      </w:r>
      <w:r>
        <w:rPr>
          <w:rFonts w:hint="eastAsia" w:ascii="仿宋" w:hAnsi="仿宋" w:eastAsia="仿宋" w:cs="仿宋"/>
          <w:sz w:val="28"/>
          <w:szCs w:val="36"/>
          <w:lang w:val="en-US" w:eastAsia="zh-CN"/>
        </w:rPr>
        <w:t>甲方</w:t>
      </w:r>
      <w:r>
        <w:rPr>
          <w:rFonts w:hint="eastAsia" w:ascii="仿宋" w:hAnsi="仿宋" w:eastAsia="仿宋" w:cs="仿宋"/>
          <w:sz w:val="28"/>
          <w:szCs w:val="36"/>
        </w:rPr>
        <w:t>造成的损失承担全部责任。</w:t>
      </w:r>
    </w:p>
    <w:p w14:paraId="50FF316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sz w:val="28"/>
          <w:szCs w:val="36"/>
          <w:lang w:val="en-US" w:eastAsia="zh-CN"/>
        </w:rPr>
      </w:pPr>
      <w:r>
        <w:rPr>
          <w:rFonts w:hint="eastAsia" w:ascii="黑体" w:hAnsi="黑体" w:eastAsia="黑体" w:cs="黑体"/>
          <w:sz w:val="28"/>
          <w:szCs w:val="36"/>
          <w:lang w:val="en-US" w:eastAsia="zh-CN"/>
        </w:rPr>
        <w:t>六、双方约定</w:t>
      </w:r>
    </w:p>
    <w:p w14:paraId="654448E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乙方聘用的工作人员由乙方与其签订劳务承包合同并自行管理，与甲方之间不存在任何劳动或劳务合同关系。乙方应妥善处理其与员工之间的关系，如造成人员伤亡，不得因此影响或牵连甲方，若因此给甲方造成损失的，该损失由乙方赔偿。</w:t>
      </w:r>
    </w:p>
    <w:p w14:paraId="228A39F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乙方负责与其派驻在甲方食堂的工作人员签订劳务承包合同，购买相关保险（工伤保险，社区医疗保险、社会保险，意外保险），乙方工作人员在工作、上下班期间遭受的一切财产和人身损害，由乙方自行承担。</w:t>
      </w:r>
    </w:p>
    <w:p w14:paraId="6AFE52A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3.甲方指派工作人员参与食堂管理，乙方应予以配合；</w:t>
      </w:r>
    </w:p>
    <w:p w14:paraId="1EF8E49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4.食堂涉及与钱款有关的工作人员安排需经甲方考察认可后方可上岗。</w:t>
      </w:r>
    </w:p>
    <w:p w14:paraId="62B9D6B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sz w:val="28"/>
          <w:szCs w:val="36"/>
        </w:rPr>
      </w:pPr>
      <w:r>
        <w:rPr>
          <w:rFonts w:hint="eastAsia" w:ascii="黑体" w:hAnsi="黑体" w:eastAsia="黑体" w:cs="黑体"/>
          <w:sz w:val="28"/>
          <w:szCs w:val="36"/>
          <w:lang w:val="en-US" w:eastAsia="zh-CN"/>
        </w:rPr>
        <w:t>七</w:t>
      </w:r>
      <w:r>
        <w:rPr>
          <w:rFonts w:hint="eastAsia" w:ascii="黑体" w:hAnsi="黑体" w:eastAsia="黑体" w:cs="黑体"/>
          <w:sz w:val="28"/>
          <w:szCs w:val="36"/>
        </w:rPr>
        <w:t>、违约责任</w:t>
      </w:r>
    </w:p>
    <w:p w14:paraId="0F0667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eastAsia="zh-CN"/>
        </w:rPr>
        <w:t>1.</w:t>
      </w:r>
      <w:r>
        <w:rPr>
          <w:rFonts w:hint="eastAsia" w:ascii="仿宋" w:hAnsi="仿宋" w:eastAsia="仿宋" w:cs="仿宋"/>
          <w:sz w:val="28"/>
          <w:szCs w:val="36"/>
        </w:rPr>
        <w:t>甲方延迟支付</w:t>
      </w:r>
      <w:r>
        <w:rPr>
          <w:rFonts w:hint="eastAsia" w:ascii="仿宋" w:hAnsi="仿宋" w:eastAsia="仿宋" w:cs="仿宋"/>
          <w:sz w:val="28"/>
          <w:szCs w:val="36"/>
          <w:lang w:val="en-US" w:eastAsia="zh-CN"/>
        </w:rPr>
        <w:t>劳务承包</w:t>
      </w:r>
      <w:r>
        <w:rPr>
          <w:rFonts w:hint="eastAsia" w:ascii="仿宋" w:hAnsi="仿宋" w:eastAsia="仿宋" w:cs="仿宋"/>
          <w:sz w:val="28"/>
          <w:szCs w:val="36"/>
        </w:rPr>
        <w:t>费用等导致乙方无法继续履行合同，乙方有权终止合同，并要求赔偿。</w:t>
      </w:r>
    </w:p>
    <w:p w14:paraId="78BA225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eastAsia="zh-CN"/>
        </w:rPr>
        <w:t>2.</w:t>
      </w:r>
      <w:r>
        <w:rPr>
          <w:rFonts w:hint="eastAsia" w:ascii="仿宋" w:hAnsi="仿宋" w:eastAsia="仿宋" w:cs="仿宋"/>
          <w:sz w:val="28"/>
          <w:szCs w:val="36"/>
        </w:rPr>
        <w:t>乙方不接受甲方监督管理、批评和建议的，同一意见建议</w:t>
      </w:r>
      <w:r>
        <w:rPr>
          <w:rFonts w:hint="eastAsia" w:ascii="仿宋" w:hAnsi="仿宋" w:eastAsia="仿宋" w:cs="仿宋"/>
          <w:sz w:val="28"/>
          <w:szCs w:val="36"/>
          <w:lang w:val="en-US" w:eastAsia="zh-CN"/>
        </w:rPr>
        <w:t>3</w:t>
      </w:r>
      <w:r>
        <w:rPr>
          <w:rFonts w:hint="eastAsia" w:ascii="仿宋" w:hAnsi="仿宋" w:eastAsia="仿宋" w:cs="仿宋"/>
          <w:sz w:val="28"/>
          <w:szCs w:val="36"/>
        </w:rPr>
        <w:t>次以上拒不改正的，或因乙方管理服务工作不到位，甲方有权解除合同并拒付上个月的</w:t>
      </w:r>
      <w:r>
        <w:rPr>
          <w:rFonts w:hint="eastAsia" w:ascii="仿宋" w:hAnsi="仿宋" w:eastAsia="仿宋" w:cs="仿宋"/>
          <w:sz w:val="28"/>
          <w:szCs w:val="36"/>
          <w:lang w:val="en-US" w:eastAsia="zh-CN"/>
        </w:rPr>
        <w:t>劳务承包合同</w:t>
      </w:r>
      <w:r>
        <w:rPr>
          <w:rFonts w:hint="eastAsia" w:ascii="仿宋" w:hAnsi="仿宋" w:eastAsia="仿宋" w:cs="仿宋"/>
          <w:sz w:val="28"/>
          <w:szCs w:val="36"/>
        </w:rPr>
        <w:t>服务费。</w:t>
      </w:r>
    </w:p>
    <w:p w14:paraId="76C2F86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sz w:val="28"/>
          <w:szCs w:val="36"/>
        </w:rPr>
      </w:pPr>
      <w:r>
        <w:rPr>
          <w:rFonts w:hint="eastAsia" w:ascii="黑体" w:hAnsi="黑体" w:eastAsia="黑体" w:cs="黑体"/>
          <w:sz w:val="28"/>
          <w:szCs w:val="36"/>
          <w:lang w:val="en-US" w:eastAsia="zh-CN"/>
        </w:rPr>
        <w:t>八</w:t>
      </w:r>
      <w:r>
        <w:rPr>
          <w:rFonts w:hint="eastAsia" w:ascii="黑体" w:hAnsi="黑体" w:eastAsia="黑体" w:cs="黑体"/>
          <w:sz w:val="28"/>
          <w:szCs w:val="36"/>
        </w:rPr>
        <w:t>、争议的解决</w:t>
      </w:r>
    </w:p>
    <w:p w14:paraId="50E1DE6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val="en-US" w:eastAsia="zh-CN"/>
        </w:rPr>
        <w:t>本合同期满后自动失效，</w:t>
      </w:r>
      <w:r>
        <w:rPr>
          <w:rFonts w:hint="eastAsia" w:ascii="仿宋" w:hAnsi="仿宋" w:eastAsia="仿宋" w:cs="仿宋"/>
          <w:sz w:val="28"/>
          <w:szCs w:val="36"/>
        </w:rPr>
        <w:t>因本合同履行有关的争议由双方友好协商解决，协商不成的任何一方均可向衡阳市蒸湘区人民法院提起诉讼。</w:t>
      </w:r>
    </w:p>
    <w:p w14:paraId="12C04F2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sz w:val="28"/>
          <w:szCs w:val="36"/>
        </w:rPr>
      </w:pPr>
      <w:r>
        <w:rPr>
          <w:rFonts w:hint="eastAsia" w:ascii="黑体" w:hAnsi="黑体" w:eastAsia="黑体" w:cs="黑体"/>
          <w:sz w:val="28"/>
          <w:szCs w:val="36"/>
          <w:lang w:val="en-US" w:eastAsia="zh-CN"/>
        </w:rPr>
        <w:t>九</w:t>
      </w:r>
      <w:r>
        <w:rPr>
          <w:rFonts w:hint="eastAsia" w:ascii="黑体" w:hAnsi="黑体" w:eastAsia="黑体" w:cs="黑体"/>
          <w:sz w:val="28"/>
          <w:szCs w:val="36"/>
        </w:rPr>
        <w:t>、未尽事宜</w:t>
      </w:r>
    </w:p>
    <w:p w14:paraId="7A45887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未尽事宜双方协商解决</w:t>
      </w:r>
      <w:r>
        <w:rPr>
          <w:rFonts w:hint="eastAsia" w:ascii="仿宋" w:hAnsi="仿宋" w:eastAsia="仿宋" w:cs="仿宋"/>
          <w:sz w:val="28"/>
          <w:szCs w:val="36"/>
          <w:lang w:eastAsia="zh-CN"/>
        </w:rPr>
        <w:t>，</w:t>
      </w:r>
      <w:r>
        <w:rPr>
          <w:rFonts w:hint="eastAsia" w:ascii="仿宋" w:hAnsi="仿宋" w:eastAsia="仿宋" w:cs="仿宋"/>
          <w:sz w:val="28"/>
          <w:szCs w:val="36"/>
        </w:rPr>
        <w:t>双方可</w:t>
      </w:r>
      <w:r>
        <w:rPr>
          <w:rFonts w:hint="eastAsia" w:ascii="仿宋" w:hAnsi="仿宋" w:eastAsia="仿宋" w:cs="仿宋"/>
          <w:sz w:val="28"/>
          <w:szCs w:val="36"/>
          <w:lang w:val="en-US" w:eastAsia="zh-CN"/>
        </w:rPr>
        <w:t>通过协商的方式</w:t>
      </w:r>
      <w:r>
        <w:rPr>
          <w:rFonts w:hint="eastAsia" w:ascii="仿宋" w:hAnsi="仿宋" w:eastAsia="仿宋" w:cs="仿宋"/>
          <w:sz w:val="28"/>
          <w:szCs w:val="36"/>
        </w:rPr>
        <w:t>签订补充协议或以附件形式</w:t>
      </w:r>
      <w:r>
        <w:rPr>
          <w:rFonts w:hint="eastAsia" w:ascii="仿宋" w:hAnsi="仿宋" w:eastAsia="仿宋" w:cs="仿宋"/>
          <w:sz w:val="28"/>
          <w:szCs w:val="36"/>
          <w:lang w:val="en-US" w:eastAsia="zh-CN"/>
        </w:rPr>
        <w:t>就</w:t>
      </w:r>
      <w:r>
        <w:rPr>
          <w:rFonts w:hint="eastAsia" w:ascii="仿宋" w:hAnsi="仿宋" w:eastAsia="仿宋" w:cs="仿宋"/>
          <w:sz w:val="28"/>
          <w:szCs w:val="36"/>
        </w:rPr>
        <w:t>有关问题</w:t>
      </w:r>
      <w:r>
        <w:rPr>
          <w:rFonts w:hint="eastAsia" w:ascii="仿宋" w:hAnsi="仿宋" w:eastAsia="仿宋" w:cs="仿宋"/>
          <w:sz w:val="28"/>
          <w:szCs w:val="36"/>
          <w:lang w:val="en-US" w:eastAsia="zh-CN"/>
        </w:rPr>
        <w:t>进行</w:t>
      </w:r>
      <w:r>
        <w:rPr>
          <w:rFonts w:hint="eastAsia" w:ascii="仿宋" w:hAnsi="仿宋" w:eastAsia="仿宋" w:cs="仿宋"/>
          <w:sz w:val="28"/>
          <w:szCs w:val="36"/>
        </w:rPr>
        <w:t>说明、解释，补充协议或附件为本合同不可分割的一部分，与本合同</w:t>
      </w:r>
      <w:r>
        <w:rPr>
          <w:rFonts w:hint="eastAsia" w:ascii="仿宋" w:hAnsi="仿宋" w:eastAsia="仿宋" w:cs="仿宋"/>
          <w:sz w:val="28"/>
          <w:szCs w:val="36"/>
          <w:lang w:eastAsia="zh-CN"/>
        </w:rPr>
        <w:t>其他部分</w:t>
      </w:r>
      <w:r>
        <w:rPr>
          <w:rFonts w:hint="eastAsia" w:ascii="仿宋" w:hAnsi="仿宋" w:eastAsia="仿宋" w:cs="仿宋"/>
          <w:sz w:val="28"/>
          <w:szCs w:val="36"/>
        </w:rPr>
        <w:t>具有同等法律效力。</w:t>
      </w:r>
    </w:p>
    <w:p w14:paraId="0059AC1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sz w:val="28"/>
          <w:szCs w:val="36"/>
        </w:rPr>
      </w:pPr>
      <w:r>
        <w:rPr>
          <w:rFonts w:hint="eastAsia" w:ascii="黑体" w:hAnsi="黑体" w:eastAsia="黑体" w:cs="黑体"/>
          <w:sz w:val="28"/>
          <w:szCs w:val="36"/>
          <w:lang w:val="en-US" w:eastAsia="zh-CN"/>
        </w:rPr>
        <w:t>十</w:t>
      </w:r>
      <w:r>
        <w:rPr>
          <w:rFonts w:hint="eastAsia" w:ascii="黑体" w:hAnsi="黑体" w:eastAsia="黑体" w:cs="黑体"/>
          <w:sz w:val="28"/>
          <w:szCs w:val="36"/>
        </w:rPr>
        <w:t>、本合同一式两份，甲乙双方各执一份，签章后生效。</w:t>
      </w:r>
    </w:p>
    <w:tbl>
      <w:tblPr>
        <w:tblStyle w:val="18"/>
        <w:tblpPr w:leftFromText="180" w:rightFromText="180" w:vertAnchor="text" w:horzAnchor="page" w:tblpX="602" w:tblpY="876"/>
        <w:tblOverlap w:val="never"/>
        <w:tblW w:w="10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45"/>
        <w:gridCol w:w="5445"/>
      </w:tblGrid>
      <w:tr w14:paraId="2E7CA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8" w:hRule="atLeast"/>
        </w:trPr>
        <w:tc>
          <w:tcPr>
            <w:tcW w:w="5445" w:type="dxa"/>
            <w:tcBorders>
              <w:top w:val="single" w:color="auto" w:sz="4" w:space="0"/>
              <w:bottom w:val="single" w:color="auto" w:sz="4" w:space="0"/>
            </w:tcBorders>
            <w:noWrap w:val="0"/>
            <w:vAlign w:val="top"/>
          </w:tcPr>
          <w:p w14:paraId="7D592B4C">
            <w:pPr>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甲</w:t>
            </w:r>
            <w:r>
              <w:rPr>
                <w:rFonts w:hint="eastAsia" w:ascii="仿宋" w:hAnsi="仿宋" w:eastAsia="仿宋" w:cs="仿宋"/>
                <w:sz w:val="28"/>
                <w:szCs w:val="28"/>
                <w:highlight w:val="none"/>
              </w:rPr>
              <w:t xml:space="preserve"> 方</w:t>
            </w:r>
          </w:p>
          <w:p w14:paraId="177743AB">
            <w:pPr>
              <w:spacing w:line="360" w:lineRule="auto"/>
              <w:rPr>
                <w:rFonts w:hint="eastAsia" w:ascii="仿宋" w:hAnsi="仿宋" w:eastAsia="仿宋" w:cs="仿宋"/>
                <w:sz w:val="24"/>
                <w:szCs w:val="24"/>
                <w:highlight w:val="none"/>
              </w:rPr>
            </w:pPr>
          </w:p>
          <w:p w14:paraId="215B520E">
            <w:pPr>
              <w:spacing w:line="360" w:lineRule="auto"/>
              <w:ind w:left="1200" w:hanging="1200" w:hangingChars="5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单位名称：</w:t>
            </w:r>
            <w:r>
              <w:rPr>
                <w:rFonts w:hint="eastAsia" w:ascii="仿宋" w:hAnsi="仿宋" w:eastAsia="仿宋" w:cs="仿宋"/>
                <w:bCs/>
                <w:sz w:val="24"/>
                <w:szCs w:val="24"/>
                <w:highlight w:val="none"/>
                <w:u w:val="none"/>
              </w:rPr>
              <w:t xml:space="preserve"> </w:t>
            </w:r>
          </w:p>
          <w:p w14:paraId="635F8556">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统一社会信用代码：</w:t>
            </w:r>
          </w:p>
          <w:p w14:paraId="3940274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p w14:paraId="4357A62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法人代表：</w:t>
            </w:r>
          </w:p>
          <w:p w14:paraId="1F157517">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授权代表</w:t>
            </w:r>
            <w:r>
              <w:rPr>
                <w:rFonts w:hint="eastAsia" w:ascii="仿宋" w:hAnsi="仿宋" w:eastAsia="仿宋" w:cs="仿宋"/>
                <w:sz w:val="24"/>
                <w:szCs w:val="24"/>
                <w:highlight w:val="none"/>
              </w:rPr>
              <w:t>：</w:t>
            </w:r>
          </w:p>
          <w:p w14:paraId="5622EAE0">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电话： </w:t>
            </w:r>
          </w:p>
          <w:p w14:paraId="18F9EDE4">
            <w:pPr>
              <w:spacing w:line="360" w:lineRule="auto"/>
              <w:ind w:left="1200" w:leftChars="0" w:hanging="1200" w:hangingChars="500"/>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p w14:paraId="757D4719">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p w14:paraId="325FD58C">
            <w:pPr>
              <w:spacing w:line="360" w:lineRule="auto"/>
              <w:rPr>
                <w:rFonts w:hint="eastAsia" w:ascii="仿宋" w:hAnsi="仿宋" w:eastAsia="仿宋" w:cs="仿宋"/>
                <w:sz w:val="28"/>
                <w:szCs w:val="28"/>
                <w:highlight w:val="none"/>
                <w:lang w:val="en-US" w:eastAsia="zh-CN"/>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日</w:t>
            </w:r>
          </w:p>
        </w:tc>
        <w:tc>
          <w:tcPr>
            <w:tcW w:w="5445" w:type="dxa"/>
            <w:tcBorders>
              <w:top w:val="single" w:color="auto" w:sz="4" w:space="0"/>
              <w:bottom w:val="single" w:color="auto" w:sz="4" w:space="0"/>
              <w:right w:val="single" w:color="auto" w:sz="4" w:space="0"/>
            </w:tcBorders>
            <w:noWrap w:val="0"/>
            <w:vAlign w:val="top"/>
          </w:tcPr>
          <w:p w14:paraId="0C0DAA12">
            <w:pPr>
              <w:jc w:val="center"/>
              <w:rPr>
                <w:rFonts w:hint="eastAsia" w:ascii="仿宋" w:hAnsi="仿宋" w:eastAsia="仿宋" w:cs="仿宋"/>
                <w:highlight w:val="none"/>
              </w:rPr>
            </w:pPr>
            <w:r>
              <w:rPr>
                <w:rFonts w:hint="eastAsia" w:ascii="仿宋" w:hAnsi="仿宋" w:eastAsia="仿宋" w:cs="仿宋"/>
                <w:sz w:val="28"/>
                <w:szCs w:val="28"/>
                <w:highlight w:val="none"/>
                <w:lang w:val="en-US" w:eastAsia="zh-CN"/>
              </w:rPr>
              <w:t>乙</w:t>
            </w:r>
            <w:r>
              <w:rPr>
                <w:rFonts w:hint="eastAsia" w:ascii="仿宋" w:hAnsi="仿宋" w:eastAsia="仿宋" w:cs="仿宋"/>
                <w:sz w:val="28"/>
                <w:szCs w:val="28"/>
                <w:highlight w:val="none"/>
              </w:rPr>
              <w:t xml:space="preserve"> 方</w:t>
            </w:r>
          </w:p>
          <w:p w14:paraId="7E16416E">
            <w:pPr>
              <w:spacing w:line="360" w:lineRule="auto"/>
              <w:rPr>
                <w:rFonts w:hint="eastAsia" w:ascii="仿宋" w:hAnsi="仿宋" w:eastAsia="仿宋" w:cs="仿宋"/>
                <w:sz w:val="24"/>
                <w:szCs w:val="24"/>
                <w:highlight w:val="none"/>
              </w:rPr>
            </w:pPr>
          </w:p>
          <w:p w14:paraId="23EF1F0D">
            <w:pPr>
              <w:spacing w:line="360" w:lineRule="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rPr>
              <w:t>单位名称：</w:t>
            </w:r>
          </w:p>
          <w:p w14:paraId="403F50A9">
            <w:pPr>
              <w:spacing w:line="360" w:lineRule="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统一社会信用代码：</w:t>
            </w:r>
          </w:p>
          <w:p w14:paraId="4B860676">
            <w:pPr>
              <w:spacing w:line="360" w:lineRule="auto"/>
              <w:ind w:left="720" w:hanging="720" w:hangingChars="300"/>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rPr>
              <w:t>地址：</w:t>
            </w:r>
          </w:p>
          <w:p w14:paraId="67FA3E16">
            <w:pPr>
              <w:spacing w:line="36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法人代表：</w:t>
            </w:r>
          </w:p>
          <w:p w14:paraId="44D6878E">
            <w:pPr>
              <w:spacing w:line="36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授权代表</w:t>
            </w:r>
            <w:r>
              <w:rPr>
                <w:rFonts w:hint="eastAsia" w:ascii="仿宋" w:hAnsi="仿宋" w:eastAsia="仿宋" w:cs="仿宋"/>
                <w:b w:val="0"/>
                <w:bCs w:val="0"/>
                <w:sz w:val="24"/>
                <w:szCs w:val="24"/>
                <w:highlight w:val="none"/>
              </w:rPr>
              <w:t xml:space="preserve">： </w:t>
            </w:r>
          </w:p>
          <w:p w14:paraId="68453252">
            <w:pPr>
              <w:spacing w:line="360" w:lineRule="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rPr>
              <w:t>电话：</w:t>
            </w:r>
          </w:p>
          <w:p w14:paraId="2011FE68">
            <w:pPr>
              <w:spacing w:line="36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开户银行：</w:t>
            </w:r>
          </w:p>
          <w:p w14:paraId="0CFFB599">
            <w:pPr>
              <w:spacing w:line="360" w:lineRule="auto"/>
              <w:rPr>
                <w:rFonts w:hint="default"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rPr>
              <w:t>账号：</w:t>
            </w:r>
          </w:p>
          <w:p w14:paraId="61BFEEC9">
            <w:pPr>
              <w:spacing w:line="360" w:lineRule="auto"/>
              <w:rPr>
                <w:rFonts w:hint="eastAsia" w:ascii="仿宋" w:hAnsi="仿宋" w:eastAsia="仿宋" w:cs="仿宋"/>
                <w:sz w:val="28"/>
                <w:szCs w:val="28"/>
                <w:highlight w:val="none"/>
                <w:lang w:val="en-US" w:eastAsia="zh-CN"/>
              </w:rPr>
            </w:pPr>
            <w:r>
              <w:rPr>
                <w:rFonts w:hint="eastAsia" w:ascii="仿宋" w:hAnsi="仿宋" w:eastAsia="仿宋" w:cs="仿宋"/>
                <w:b w:val="0"/>
                <w:bCs w:val="0"/>
                <w:sz w:val="24"/>
                <w:szCs w:val="24"/>
                <w:highlight w:val="none"/>
              </w:rPr>
              <w:t>日期：</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年</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月</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val="en-US" w:eastAsia="zh-CN"/>
              </w:rPr>
              <w:t>日</w:t>
            </w:r>
          </w:p>
        </w:tc>
      </w:tr>
    </w:tbl>
    <w:p w14:paraId="4969FEF9">
      <w:pPr>
        <w:pStyle w:val="24"/>
        <w:rPr>
          <w:rFonts w:hint="default"/>
          <w:color w:val="auto"/>
          <w:highlight w:val="none"/>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D6830C4-0BF3-43FA-A903-178D4AF3812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C75EEEE-1CE6-422E-9BA3-E18AD2A2270D}"/>
  </w:font>
  <w:font w:name="方正小标宋简体">
    <w:panose1 w:val="02000000000000000000"/>
    <w:charset w:val="86"/>
    <w:family w:val="auto"/>
    <w:pitch w:val="default"/>
    <w:sig w:usb0="00000001" w:usb1="08000000" w:usb2="00000000" w:usb3="00000000" w:csb0="00040000" w:csb1="00000000"/>
    <w:embedRegular r:id="rId3" w:fontKey="{4961F40F-4B27-4651-BFEE-EC0CF888D127}"/>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embedRegular r:id="rId4" w:fontKey="{127F41B3-4160-4407-8605-507D936D4BDD}"/>
  </w:font>
  <w:font w:name="方正小标宋_GBK">
    <w:panose1 w:val="02000000000000000000"/>
    <w:charset w:val="86"/>
    <w:family w:val="auto"/>
    <w:pitch w:val="default"/>
    <w:sig w:usb0="A00002BF" w:usb1="38CF7CFA" w:usb2="00082016" w:usb3="00000000" w:csb0="00040001" w:csb1="00000000"/>
    <w:embedRegular r:id="rId5" w:fontKey="{B7B4A683-8BDA-4064-8BA9-CACB7A41DE4C}"/>
  </w:font>
  <w:font w:name="华文中宋">
    <w:panose1 w:val="02010600040101010101"/>
    <w:charset w:val="86"/>
    <w:family w:val="auto"/>
    <w:pitch w:val="default"/>
    <w:sig w:usb0="00000287" w:usb1="080F0000" w:usb2="00000000" w:usb3="00000000" w:csb0="0004009F" w:csb1="DFD70000"/>
    <w:embedRegular r:id="rId6" w:fontKey="{441B0FD4-F868-4EED-B7ED-59417AB13B47}"/>
  </w:font>
  <w:font w:name="仿宋">
    <w:panose1 w:val="02010609060101010101"/>
    <w:charset w:val="86"/>
    <w:family w:val="modern"/>
    <w:pitch w:val="default"/>
    <w:sig w:usb0="800002BF" w:usb1="38CF7CFA" w:usb2="00000016" w:usb3="00000000" w:csb0="00040001" w:csb1="00000000"/>
    <w:embedRegular r:id="rId7" w:fontKey="{62BDB9EA-EC31-4F04-A10C-42A387126BFD}"/>
  </w:font>
  <w:font w:name="华文仿宋">
    <w:panose1 w:val="02010600040101010101"/>
    <w:charset w:val="86"/>
    <w:family w:val="auto"/>
    <w:pitch w:val="default"/>
    <w:sig w:usb0="00000287" w:usb1="080F0000" w:usb2="00000000" w:usb3="00000000" w:csb0="0004009F" w:csb1="DFD70000"/>
    <w:embedRegular r:id="rId8" w:fontKey="{B3308B0F-25D8-4A10-8611-E4AFD93F799B}"/>
  </w:font>
  <w:font w:name="方正楷体_GB2312">
    <w:panose1 w:val="02000000000000000000"/>
    <w:charset w:val="86"/>
    <w:family w:val="auto"/>
    <w:pitch w:val="default"/>
    <w:sig w:usb0="A00002BF" w:usb1="184F6CFA" w:usb2="00000012" w:usb3="00000000" w:csb0="00040001" w:csb1="00000000"/>
    <w:embedRegular r:id="rId9" w:fontKey="{8625C92A-D29D-4410-8808-3499C4F22B46}"/>
  </w:font>
  <w:font w:name="WPSEMBED4">
    <w:panose1 w:val="02000000000000000000"/>
    <w:charset w:val="86"/>
    <w:family w:val="auto"/>
    <w:pitch w:val="default"/>
    <w:sig w:usb0="A00002BF" w:usb1="38CF7CFA" w:usb2="00082016" w:usb3="00000000" w:csb0="00040001" w:csb1="00000000"/>
  </w:font>
  <w:font w:name="WPSEMBED2">
    <w:panose1 w:val="02000000000000000000"/>
    <w:charset w:val="86"/>
    <w:family w:val="auto"/>
    <w:pitch w:val="default"/>
    <w:sig w:usb0="00000001" w:usb1="08000000" w:usb2="00000000" w:usb3="00000000" w:csb0="00040000" w:csb1="00000000"/>
  </w:font>
  <w:font w:name="WPSEMBED3">
    <w:panose1 w:val="02010609030101010101"/>
    <w:charset w:val="86"/>
    <w:family w:val="auto"/>
    <w:pitch w:val="default"/>
    <w:sig w:usb0="00000001" w:usb1="080E0000" w:usb2="00000000" w:usb3="00000000" w:csb0="00040000" w:csb1="00000000"/>
  </w:font>
  <w:font w:name="WPSEMBED5">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06A00">
    <w:pPr>
      <w:pStyle w:val="14"/>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docPartObj>
                              <w:docPartGallery w:val="autotext"/>
                            </w:docPartObj>
                          </w:sdtPr>
                          <w:sdtContent>
                            <w:p w14:paraId="170AD26E">
                              <w:pPr>
                                <w:pStyle w:val="14"/>
                                <w:jc w:val="center"/>
                              </w:pPr>
                              <w:r>
                                <w:fldChar w:fldCharType="begin"/>
                              </w:r>
                              <w:r>
                                <w:instrText xml:space="preserve">PAGE   \* MERGEFORMAT</w:instrText>
                              </w:r>
                              <w:r>
                                <w:fldChar w:fldCharType="separate"/>
                              </w:r>
                              <w:r>
                                <w:rPr>
                                  <w:lang w:val="zh-CN"/>
                                </w:rPr>
                                <w:t>1</w:t>
                              </w:r>
                              <w:r>
                                <w:fldChar w:fldCharType="end"/>
                              </w:r>
                            </w:p>
                          </w:sdtContent>
                        </w:sdt>
                        <w:p w14:paraId="4B290280">
                          <w:pPr>
                            <w:pStyle w:val="7"/>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147476803"/>
                      <w:docPartObj>
                        <w:docPartGallery w:val="autotext"/>
                      </w:docPartObj>
                    </w:sdtPr>
                    <w:sdtContent>
                      <w:p w14:paraId="170AD26E">
                        <w:pPr>
                          <w:pStyle w:val="14"/>
                          <w:jc w:val="center"/>
                        </w:pPr>
                        <w:r>
                          <w:fldChar w:fldCharType="begin"/>
                        </w:r>
                        <w:r>
                          <w:instrText xml:space="preserve">PAGE   \* MERGEFORMAT</w:instrText>
                        </w:r>
                        <w:r>
                          <w:fldChar w:fldCharType="separate"/>
                        </w:r>
                        <w:r>
                          <w:rPr>
                            <w:lang w:val="zh-CN"/>
                          </w:rPr>
                          <w:t>1</w:t>
                        </w:r>
                        <w:r>
                          <w:fldChar w:fldCharType="end"/>
                        </w:r>
                      </w:p>
                    </w:sdtContent>
                  </w:sdt>
                  <w:p w14:paraId="4B290280">
                    <w:pPr>
                      <w:pStyle w:val="7"/>
                    </w:pPr>
                  </w:p>
                </w:txbxContent>
              </v:textbox>
            </v:shape>
          </w:pict>
        </mc:Fallback>
      </mc:AlternateContent>
    </w:r>
  </w:p>
  <w:p w14:paraId="123479E4">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32397">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29EFB">
    <w:pPr>
      <w:pStyle w:val="1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8A14FC">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28A14FC">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EE4D3">
    <w:pPr>
      <w:pStyle w:val="14"/>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BE23BD">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4BE23BD">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DE54E">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5A4CE1">
                          <w:pPr>
                            <w:pStyle w:val="1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D5A4CE1">
                    <w:pPr>
                      <w:pStyle w:val="14"/>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4AC1B9">
                          <w:pPr>
                            <w:pStyle w:val="14"/>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4AC1B9">
                    <w:pPr>
                      <w:pStyle w:val="14"/>
                      <w:rPr>
                        <w:rFonts w:hint="default" w:eastAsia="宋体"/>
                        <w:lang w:val="en-US" w:eastAsia="zh-CN"/>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3805D">
    <w:pPr>
      <w:pStyle w:val="14"/>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91D3D4">
                          <w:pPr>
                            <w:pStyle w:val="1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091D3D4">
                    <w:pPr>
                      <w:pStyle w:val="14"/>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176F15">
                          <w:pPr>
                            <w:pStyle w:val="14"/>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C176F15">
                    <w:pPr>
                      <w:pStyle w:val="14"/>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23196">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51885">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7005B">
    <w:pPr>
      <w:pStyle w:val="1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16DE2">
    <w:pPr>
      <w:pStyle w:val="13"/>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4E9D3">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72118B"/>
    <w:multiLevelType w:val="singleLevel"/>
    <w:tmpl w:val="0872118B"/>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s>
  <w:rsids>
    <w:rsidRoot w:val="6E8513F5"/>
    <w:rsid w:val="000273CC"/>
    <w:rsid w:val="00125861"/>
    <w:rsid w:val="004E2611"/>
    <w:rsid w:val="00577CA6"/>
    <w:rsid w:val="006275E2"/>
    <w:rsid w:val="00727D87"/>
    <w:rsid w:val="00942B50"/>
    <w:rsid w:val="00953D9C"/>
    <w:rsid w:val="0097492C"/>
    <w:rsid w:val="00AB7A64"/>
    <w:rsid w:val="00CF1D6C"/>
    <w:rsid w:val="00EF7950"/>
    <w:rsid w:val="011A24F4"/>
    <w:rsid w:val="011E3478"/>
    <w:rsid w:val="01221904"/>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803C7B"/>
    <w:rsid w:val="03905ADC"/>
    <w:rsid w:val="039467A0"/>
    <w:rsid w:val="03996569"/>
    <w:rsid w:val="039D4805"/>
    <w:rsid w:val="039F0834"/>
    <w:rsid w:val="03CE5F43"/>
    <w:rsid w:val="03D42D07"/>
    <w:rsid w:val="03D60954"/>
    <w:rsid w:val="03F4527E"/>
    <w:rsid w:val="041871BE"/>
    <w:rsid w:val="04275653"/>
    <w:rsid w:val="042A0CA0"/>
    <w:rsid w:val="042B64D1"/>
    <w:rsid w:val="043E1FEF"/>
    <w:rsid w:val="044D1A72"/>
    <w:rsid w:val="04510922"/>
    <w:rsid w:val="045718E3"/>
    <w:rsid w:val="04A62A1C"/>
    <w:rsid w:val="04C168B1"/>
    <w:rsid w:val="04D035F5"/>
    <w:rsid w:val="05451806"/>
    <w:rsid w:val="056902D2"/>
    <w:rsid w:val="0571302A"/>
    <w:rsid w:val="05756DE3"/>
    <w:rsid w:val="057D69E2"/>
    <w:rsid w:val="05B1370D"/>
    <w:rsid w:val="05B60A3D"/>
    <w:rsid w:val="05BD6F8F"/>
    <w:rsid w:val="05DE1D42"/>
    <w:rsid w:val="061F0AE6"/>
    <w:rsid w:val="063127B9"/>
    <w:rsid w:val="064222D0"/>
    <w:rsid w:val="06500E91"/>
    <w:rsid w:val="06C5443F"/>
    <w:rsid w:val="06D15558"/>
    <w:rsid w:val="06DC2725"/>
    <w:rsid w:val="06E96A95"/>
    <w:rsid w:val="06FB7003"/>
    <w:rsid w:val="07212609"/>
    <w:rsid w:val="07414C7E"/>
    <w:rsid w:val="076D7821"/>
    <w:rsid w:val="079254DA"/>
    <w:rsid w:val="07926CE3"/>
    <w:rsid w:val="07BC027B"/>
    <w:rsid w:val="080923AB"/>
    <w:rsid w:val="081E4F5F"/>
    <w:rsid w:val="0882284B"/>
    <w:rsid w:val="08C92C2E"/>
    <w:rsid w:val="08D35DAA"/>
    <w:rsid w:val="08ED1EAA"/>
    <w:rsid w:val="090F782C"/>
    <w:rsid w:val="093F333A"/>
    <w:rsid w:val="09715E3C"/>
    <w:rsid w:val="097737F5"/>
    <w:rsid w:val="09A514F4"/>
    <w:rsid w:val="09A51D4C"/>
    <w:rsid w:val="09B352D3"/>
    <w:rsid w:val="09C20233"/>
    <w:rsid w:val="09D45935"/>
    <w:rsid w:val="09D516AE"/>
    <w:rsid w:val="0A1B478D"/>
    <w:rsid w:val="0A20338C"/>
    <w:rsid w:val="0A23066B"/>
    <w:rsid w:val="0A3A2269"/>
    <w:rsid w:val="0A5A57CC"/>
    <w:rsid w:val="0A7B72A1"/>
    <w:rsid w:val="0A8245A3"/>
    <w:rsid w:val="0A95265E"/>
    <w:rsid w:val="0AB3379D"/>
    <w:rsid w:val="0AB75563"/>
    <w:rsid w:val="0AFE5739"/>
    <w:rsid w:val="0B0623DF"/>
    <w:rsid w:val="0B220922"/>
    <w:rsid w:val="0B426F27"/>
    <w:rsid w:val="0B5605CC"/>
    <w:rsid w:val="0B5F64B2"/>
    <w:rsid w:val="0BBA3B3F"/>
    <w:rsid w:val="0BBE572F"/>
    <w:rsid w:val="0BC1013B"/>
    <w:rsid w:val="0BC11EE9"/>
    <w:rsid w:val="0C0635F9"/>
    <w:rsid w:val="0C281C8D"/>
    <w:rsid w:val="0C346B5F"/>
    <w:rsid w:val="0C357C33"/>
    <w:rsid w:val="0C3C6C9A"/>
    <w:rsid w:val="0C794EB2"/>
    <w:rsid w:val="0CAD2F27"/>
    <w:rsid w:val="0CAF4438"/>
    <w:rsid w:val="0CB11F5E"/>
    <w:rsid w:val="0CC9374C"/>
    <w:rsid w:val="0CE146C4"/>
    <w:rsid w:val="0D2D33FB"/>
    <w:rsid w:val="0D4E0FEF"/>
    <w:rsid w:val="0D5079C9"/>
    <w:rsid w:val="0D6E7E4F"/>
    <w:rsid w:val="0D8F7A7E"/>
    <w:rsid w:val="0DD759F4"/>
    <w:rsid w:val="0DDC3ED4"/>
    <w:rsid w:val="0E0B7D94"/>
    <w:rsid w:val="0E2F75DE"/>
    <w:rsid w:val="0E3E5A73"/>
    <w:rsid w:val="0E4C33AC"/>
    <w:rsid w:val="0E4D52BA"/>
    <w:rsid w:val="0E5928AD"/>
    <w:rsid w:val="0E651252"/>
    <w:rsid w:val="0E675CD8"/>
    <w:rsid w:val="0E8A6F0A"/>
    <w:rsid w:val="0E8F4FB9"/>
    <w:rsid w:val="0EA7139C"/>
    <w:rsid w:val="0EC87A33"/>
    <w:rsid w:val="0ECA58F5"/>
    <w:rsid w:val="0ED10695"/>
    <w:rsid w:val="0ED916D8"/>
    <w:rsid w:val="0EE571BB"/>
    <w:rsid w:val="0F2C704F"/>
    <w:rsid w:val="0F3F1AA3"/>
    <w:rsid w:val="0F4C05FA"/>
    <w:rsid w:val="0F711E78"/>
    <w:rsid w:val="0FB0474F"/>
    <w:rsid w:val="103C5FE2"/>
    <w:rsid w:val="103F3D25"/>
    <w:rsid w:val="104C68AC"/>
    <w:rsid w:val="107514F4"/>
    <w:rsid w:val="10CA0744"/>
    <w:rsid w:val="11160F29"/>
    <w:rsid w:val="11226F4D"/>
    <w:rsid w:val="112460E6"/>
    <w:rsid w:val="112D6B93"/>
    <w:rsid w:val="113D0232"/>
    <w:rsid w:val="115B693C"/>
    <w:rsid w:val="115F51E1"/>
    <w:rsid w:val="119A56B6"/>
    <w:rsid w:val="121F3E0E"/>
    <w:rsid w:val="123C43E8"/>
    <w:rsid w:val="125267B3"/>
    <w:rsid w:val="127952CC"/>
    <w:rsid w:val="12861ED5"/>
    <w:rsid w:val="12E74E6B"/>
    <w:rsid w:val="12EB782C"/>
    <w:rsid w:val="12FD500A"/>
    <w:rsid w:val="13083BA5"/>
    <w:rsid w:val="133F546B"/>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530637"/>
    <w:rsid w:val="146141DF"/>
    <w:rsid w:val="14665D24"/>
    <w:rsid w:val="146D2C0E"/>
    <w:rsid w:val="147D0074"/>
    <w:rsid w:val="148D578D"/>
    <w:rsid w:val="14A168E7"/>
    <w:rsid w:val="14B140D6"/>
    <w:rsid w:val="150026A8"/>
    <w:rsid w:val="15172003"/>
    <w:rsid w:val="152A0CD3"/>
    <w:rsid w:val="154E5444"/>
    <w:rsid w:val="15520056"/>
    <w:rsid w:val="15643BA8"/>
    <w:rsid w:val="156E1C8F"/>
    <w:rsid w:val="15A24B3A"/>
    <w:rsid w:val="15A92036"/>
    <w:rsid w:val="15B97F07"/>
    <w:rsid w:val="15CB3543"/>
    <w:rsid w:val="15CC04FB"/>
    <w:rsid w:val="16007AB2"/>
    <w:rsid w:val="160A6A90"/>
    <w:rsid w:val="160A73F8"/>
    <w:rsid w:val="16512DC9"/>
    <w:rsid w:val="16573AA7"/>
    <w:rsid w:val="1664374B"/>
    <w:rsid w:val="166E2695"/>
    <w:rsid w:val="167745B8"/>
    <w:rsid w:val="16781D3E"/>
    <w:rsid w:val="16850754"/>
    <w:rsid w:val="1695644C"/>
    <w:rsid w:val="16ED6288"/>
    <w:rsid w:val="16F82EC2"/>
    <w:rsid w:val="172850DA"/>
    <w:rsid w:val="174F05A1"/>
    <w:rsid w:val="177B1AE6"/>
    <w:rsid w:val="177D53E4"/>
    <w:rsid w:val="177D7366"/>
    <w:rsid w:val="17D24C75"/>
    <w:rsid w:val="17F727BA"/>
    <w:rsid w:val="17F7717D"/>
    <w:rsid w:val="1806190D"/>
    <w:rsid w:val="181D494B"/>
    <w:rsid w:val="18283784"/>
    <w:rsid w:val="18761BDB"/>
    <w:rsid w:val="18812545"/>
    <w:rsid w:val="188362EB"/>
    <w:rsid w:val="18A46E1B"/>
    <w:rsid w:val="18BC5F12"/>
    <w:rsid w:val="18BD1C8B"/>
    <w:rsid w:val="18D22DC9"/>
    <w:rsid w:val="18DA6CE0"/>
    <w:rsid w:val="18E13BCB"/>
    <w:rsid w:val="18EE62E8"/>
    <w:rsid w:val="19031D93"/>
    <w:rsid w:val="190F698A"/>
    <w:rsid w:val="191E6BCD"/>
    <w:rsid w:val="193066BD"/>
    <w:rsid w:val="19474B83"/>
    <w:rsid w:val="19505997"/>
    <w:rsid w:val="195B1BCF"/>
    <w:rsid w:val="19925AEB"/>
    <w:rsid w:val="19A40BD7"/>
    <w:rsid w:val="19AF29F7"/>
    <w:rsid w:val="19AF4536"/>
    <w:rsid w:val="19B6182A"/>
    <w:rsid w:val="19D35C0A"/>
    <w:rsid w:val="19EF24A3"/>
    <w:rsid w:val="1A330F0E"/>
    <w:rsid w:val="1A364C38"/>
    <w:rsid w:val="1A5A58B6"/>
    <w:rsid w:val="1A687305"/>
    <w:rsid w:val="1A687CD6"/>
    <w:rsid w:val="1A8E48BD"/>
    <w:rsid w:val="1A993A29"/>
    <w:rsid w:val="1AC94917"/>
    <w:rsid w:val="1AF35C55"/>
    <w:rsid w:val="1B027E29"/>
    <w:rsid w:val="1B101769"/>
    <w:rsid w:val="1B456946"/>
    <w:rsid w:val="1B474776"/>
    <w:rsid w:val="1B4F51DF"/>
    <w:rsid w:val="1B6D0ED3"/>
    <w:rsid w:val="1B7E1BA5"/>
    <w:rsid w:val="1B7F06C9"/>
    <w:rsid w:val="1BA86C22"/>
    <w:rsid w:val="1BC3660E"/>
    <w:rsid w:val="1BD73B49"/>
    <w:rsid w:val="1BEC6B0F"/>
    <w:rsid w:val="1C3A159B"/>
    <w:rsid w:val="1C7020CB"/>
    <w:rsid w:val="1C9D42AD"/>
    <w:rsid w:val="1CC93433"/>
    <w:rsid w:val="1CCE7468"/>
    <w:rsid w:val="1CD87093"/>
    <w:rsid w:val="1CFF3ADF"/>
    <w:rsid w:val="1D0450E2"/>
    <w:rsid w:val="1D185B91"/>
    <w:rsid w:val="1D1C3424"/>
    <w:rsid w:val="1D497F91"/>
    <w:rsid w:val="1D4F5CE8"/>
    <w:rsid w:val="1D6E4A05"/>
    <w:rsid w:val="1D743260"/>
    <w:rsid w:val="1DA227A9"/>
    <w:rsid w:val="1DBF79E1"/>
    <w:rsid w:val="1DFB128B"/>
    <w:rsid w:val="1E256308"/>
    <w:rsid w:val="1E3F4B15"/>
    <w:rsid w:val="1E40188A"/>
    <w:rsid w:val="1E6F3A27"/>
    <w:rsid w:val="1E8F5E77"/>
    <w:rsid w:val="1E92030E"/>
    <w:rsid w:val="1EBB0A1A"/>
    <w:rsid w:val="1EBD456F"/>
    <w:rsid w:val="1ED45CAB"/>
    <w:rsid w:val="1EDE45FC"/>
    <w:rsid w:val="1F52137F"/>
    <w:rsid w:val="1F5570C1"/>
    <w:rsid w:val="1F576995"/>
    <w:rsid w:val="1F811C64"/>
    <w:rsid w:val="1F8809D2"/>
    <w:rsid w:val="1FA672D2"/>
    <w:rsid w:val="1FAC5706"/>
    <w:rsid w:val="1FAD0CAB"/>
    <w:rsid w:val="1FC009DE"/>
    <w:rsid w:val="1FC2158B"/>
    <w:rsid w:val="1FDB07C5"/>
    <w:rsid w:val="1FE55560"/>
    <w:rsid w:val="1FF57F5C"/>
    <w:rsid w:val="20591E34"/>
    <w:rsid w:val="20592B54"/>
    <w:rsid w:val="206030D2"/>
    <w:rsid w:val="20854536"/>
    <w:rsid w:val="20BE299A"/>
    <w:rsid w:val="20C56D5C"/>
    <w:rsid w:val="20D66578"/>
    <w:rsid w:val="20FA3253"/>
    <w:rsid w:val="21052421"/>
    <w:rsid w:val="211B128C"/>
    <w:rsid w:val="212B00D9"/>
    <w:rsid w:val="21470FA7"/>
    <w:rsid w:val="216A0B0A"/>
    <w:rsid w:val="2171021B"/>
    <w:rsid w:val="21B005DE"/>
    <w:rsid w:val="21D101DA"/>
    <w:rsid w:val="220153E6"/>
    <w:rsid w:val="222F59A7"/>
    <w:rsid w:val="223B07F0"/>
    <w:rsid w:val="225B1B58"/>
    <w:rsid w:val="226338A3"/>
    <w:rsid w:val="2265761B"/>
    <w:rsid w:val="227028F7"/>
    <w:rsid w:val="22810CD6"/>
    <w:rsid w:val="229C5B1A"/>
    <w:rsid w:val="22A55E32"/>
    <w:rsid w:val="22BE6D2B"/>
    <w:rsid w:val="22D93E0F"/>
    <w:rsid w:val="233429F8"/>
    <w:rsid w:val="23533F67"/>
    <w:rsid w:val="23612324"/>
    <w:rsid w:val="23722500"/>
    <w:rsid w:val="23767606"/>
    <w:rsid w:val="239C3958"/>
    <w:rsid w:val="23A61C99"/>
    <w:rsid w:val="23D41D17"/>
    <w:rsid w:val="240D7CB1"/>
    <w:rsid w:val="2466767A"/>
    <w:rsid w:val="247E2C16"/>
    <w:rsid w:val="248720BC"/>
    <w:rsid w:val="249266C1"/>
    <w:rsid w:val="24DD793C"/>
    <w:rsid w:val="24FA29B1"/>
    <w:rsid w:val="25461A4C"/>
    <w:rsid w:val="25513E86"/>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A13908"/>
    <w:rsid w:val="27C26BCC"/>
    <w:rsid w:val="280A513D"/>
    <w:rsid w:val="281100FE"/>
    <w:rsid w:val="283346EC"/>
    <w:rsid w:val="285C501C"/>
    <w:rsid w:val="287A2A85"/>
    <w:rsid w:val="2886653D"/>
    <w:rsid w:val="28956780"/>
    <w:rsid w:val="28A54C15"/>
    <w:rsid w:val="28CD7CC8"/>
    <w:rsid w:val="28E26544"/>
    <w:rsid w:val="28F2772E"/>
    <w:rsid w:val="28F416F8"/>
    <w:rsid w:val="290E4B79"/>
    <w:rsid w:val="2916341D"/>
    <w:rsid w:val="292956A6"/>
    <w:rsid w:val="29424212"/>
    <w:rsid w:val="294C3CAC"/>
    <w:rsid w:val="294E705B"/>
    <w:rsid w:val="29733D0B"/>
    <w:rsid w:val="29855014"/>
    <w:rsid w:val="299E493C"/>
    <w:rsid w:val="29CB06AB"/>
    <w:rsid w:val="29D054FB"/>
    <w:rsid w:val="29F71279"/>
    <w:rsid w:val="2A07200A"/>
    <w:rsid w:val="2A107348"/>
    <w:rsid w:val="2AA0743E"/>
    <w:rsid w:val="2AAE2211"/>
    <w:rsid w:val="2ABD2874"/>
    <w:rsid w:val="2ACE06A4"/>
    <w:rsid w:val="2AE15CAC"/>
    <w:rsid w:val="2AE412F9"/>
    <w:rsid w:val="2B213A70"/>
    <w:rsid w:val="2B295022"/>
    <w:rsid w:val="2B3D7387"/>
    <w:rsid w:val="2B5B780D"/>
    <w:rsid w:val="2B74267D"/>
    <w:rsid w:val="2B7B4B38"/>
    <w:rsid w:val="2B85488A"/>
    <w:rsid w:val="2BC01D66"/>
    <w:rsid w:val="2BDE7D31"/>
    <w:rsid w:val="2C1A1476"/>
    <w:rsid w:val="2C2E0A7D"/>
    <w:rsid w:val="2C364F00"/>
    <w:rsid w:val="2C506C46"/>
    <w:rsid w:val="2C5E4001"/>
    <w:rsid w:val="2CA12B77"/>
    <w:rsid w:val="2CE57AC3"/>
    <w:rsid w:val="2CE85495"/>
    <w:rsid w:val="2CE91276"/>
    <w:rsid w:val="2CED6B8B"/>
    <w:rsid w:val="2CF577ED"/>
    <w:rsid w:val="2CF64487"/>
    <w:rsid w:val="2D3175C6"/>
    <w:rsid w:val="2D355E3C"/>
    <w:rsid w:val="2D4A7B39"/>
    <w:rsid w:val="2D57250A"/>
    <w:rsid w:val="2D7245D7"/>
    <w:rsid w:val="2DB33930"/>
    <w:rsid w:val="2DC07DFB"/>
    <w:rsid w:val="2DF83A39"/>
    <w:rsid w:val="2DFA2441"/>
    <w:rsid w:val="2DFD4BAB"/>
    <w:rsid w:val="2E0F73E1"/>
    <w:rsid w:val="2E1169DA"/>
    <w:rsid w:val="2E1563DF"/>
    <w:rsid w:val="2E2A34C6"/>
    <w:rsid w:val="2E383E35"/>
    <w:rsid w:val="2E3F51C4"/>
    <w:rsid w:val="2E463EBE"/>
    <w:rsid w:val="2E4A0987"/>
    <w:rsid w:val="2E580034"/>
    <w:rsid w:val="2EBE2687"/>
    <w:rsid w:val="2EE07DC0"/>
    <w:rsid w:val="2F08082A"/>
    <w:rsid w:val="2F236894"/>
    <w:rsid w:val="2F350A84"/>
    <w:rsid w:val="2F454D87"/>
    <w:rsid w:val="2F464330"/>
    <w:rsid w:val="2F4B7B98"/>
    <w:rsid w:val="2F561FC3"/>
    <w:rsid w:val="2F68200A"/>
    <w:rsid w:val="2F6D396B"/>
    <w:rsid w:val="2F760342"/>
    <w:rsid w:val="2F827A5E"/>
    <w:rsid w:val="2FB120F1"/>
    <w:rsid w:val="2FB353F8"/>
    <w:rsid w:val="2FC9403D"/>
    <w:rsid w:val="2FD732E5"/>
    <w:rsid w:val="2FDB474A"/>
    <w:rsid w:val="2FF206FB"/>
    <w:rsid w:val="30313232"/>
    <w:rsid w:val="30890DB9"/>
    <w:rsid w:val="309F1F4A"/>
    <w:rsid w:val="30BC1800"/>
    <w:rsid w:val="30D75B88"/>
    <w:rsid w:val="30F27492"/>
    <w:rsid w:val="30F735EC"/>
    <w:rsid w:val="31304DFE"/>
    <w:rsid w:val="31326AF4"/>
    <w:rsid w:val="316A07AA"/>
    <w:rsid w:val="317A3A13"/>
    <w:rsid w:val="319F5F79"/>
    <w:rsid w:val="31C75BFC"/>
    <w:rsid w:val="31E6638F"/>
    <w:rsid w:val="322A1CE7"/>
    <w:rsid w:val="3244724D"/>
    <w:rsid w:val="32470AEB"/>
    <w:rsid w:val="324B0F45"/>
    <w:rsid w:val="324D55F8"/>
    <w:rsid w:val="3261306E"/>
    <w:rsid w:val="327B50A3"/>
    <w:rsid w:val="32B358D5"/>
    <w:rsid w:val="32DD144F"/>
    <w:rsid w:val="32FD564D"/>
    <w:rsid w:val="32FE1D85"/>
    <w:rsid w:val="331E1812"/>
    <w:rsid w:val="334375E7"/>
    <w:rsid w:val="33590AD6"/>
    <w:rsid w:val="335D42AC"/>
    <w:rsid w:val="33630DB2"/>
    <w:rsid w:val="33750268"/>
    <w:rsid w:val="338B2C59"/>
    <w:rsid w:val="339A7374"/>
    <w:rsid w:val="33D74AF9"/>
    <w:rsid w:val="33F24C76"/>
    <w:rsid w:val="33F60984"/>
    <w:rsid w:val="34057AB2"/>
    <w:rsid w:val="340842AA"/>
    <w:rsid w:val="341B4A8C"/>
    <w:rsid w:val="342A40F6"/>
    <w:rsid w:val="343B642D"/>
    <w:rsid w:val="346F2688"/>
    <w:rsid w:val="348C7C8B"/>
    <w:rsid w:val="349B511E"/>
    <w:rsid w:val="34CC177B"/>
    <w:rsid w:val="34E13437"/>
    <w:rsid w:val="34F07218"/>
    <w:rsid w:val="34F13EEA"/>
    <w:rsid w:val="34FE7D24"/>
    <w:rsid w:val="350324ED"/>
    <w:rsid w:val="3541482A"/>
    <w:rsid w:val="3558300F"/>
    <w:rsid w:val="35625708"/>
    <w:rsid w:val="35633E8E"/>
    <w:rsid w:val="35643762"/>
    <w:rsid w:val="35740636"/>
    <w:rsid w:val="357A6B67"/>
    <w:rsid w:val="358E5AF3"/>
    <w:rsid w:val="35CD57AB"/>
    <w:rsid w:val="35EE06C2"/>
    <w:rsid w:val="35FC6420"/>
    <w:rsid w:val="368045CB"/>
    <w:rsid w:val="369752F7"/>
    <w:rsid w:val="36BD11F9"/>
    <w:rsid w:val="371B60A2"/>
    <w:rsid w:val="37495343"/>
    <w:rsid w:val="37515F68"/>
    <w:rsid w:val="37647A49"/>
    <w:rsid w:val="37712AB1"/>
    <w:rsid w:val="378431AA"/>
    <w:rsid w:val="37A91900"/>
    <w:rsid w:val="37EA0AA2"/>
    <w:rsid w:val="382014AF"/>
    <w:rsid w:val="388C54AA"/>
    <w:rsid w:val="38CF183A"/>
    <w:rsid w:val="38DE5291"/>
    <w:rsid w:val="38E54BBA"/>
    <w:rsid w:val="3916393F"/>
    <w:rsid w:val="3926472A"/>
    <w:rsid w:val="394B239C"/>
    <w:rsid w:val="396226AE"/>
    <w:rsid w:val="397473C2"/>
    <w:rsid w:val="397E1BE3"/>
    <w:rsid w:val="39924D42"/>
    <w:rsid w:val="399F56D1"/>
    <w:rsid w:val="39D8471E"/>
    <w:rsid w:val="39DF5AAD"/>
    <w:rsid w:val="39F520EB"/>
    <w:rsid w:val="39F552D0"/>
    <w:rsid w:val="3A192D6D"/>
    <w:rsid w:val="3A2B7D28"/>
    <w:rsid w:val="3A3802A6"/>
    <w:rsid w:val="3A57018C"/>
    <w:rsid w:val="3AA67255"/>
    <w:rsid w:val="3AB06159"/>
    <w:rsid w:val="3AC70A1B"/>
    <w:rsid w:val="3ADC48A5"/>
    <w:rsid w:val="3AFE01B5"/>
    <w:rsid w:val="3B0C4680"/>
    <w:rsid w:val="3B3D6F2F"/>
    <w:rsid w:val="3B5E12EE"/>
    <w:rsid w:val="3B6E63CB"/>
    <w:rsid w:val="3B774A07"/>
    <w:rsid w:val="3B8907CC"/>
    <w:rsid w:val="3B96663F"/>
    <w:rsid w:val="3B9A612F"/>
    <w:rsid w:val="3B9E4539"/>
    <w:rsid w:val="3BC203D3"/>
    <w:rsid w:val="3BC23901"/>
    <w:rsid w:val="3C3419C0"/>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3363C7"/>
    <w:rsid w:val="3E442280"/>
    <w:rsid w:val="3E500B4C"/>
    <w:rsid w:val="3E94330A"/>
    <w:rsid w:val="3EB44480"/>
    <w:rsid w:val="3EED7055"/>
    <w:rsid w:val="3EEF088A"/>
    <w:rsid w:val="3EF9316D"/>
    <w:rsid w:val="3EFA5515"/>
    <w:rsid w:val="3F035D9A"/>
    <w:rsid w:val="3F1B5F44"/>
    <w:rsid w:val="3F1F5DA0"/>
    <w:rsid w:val="3F3601F1"/>
    <w:rsid w:val="3F43263A"/>
    <w:rsid w:val="3F5B3FBD"/>
    <w:rsid w:val="3F80388E"/>
    <w:rsid w:val="3F84512C"/>
    <w:rsid w:val="3F8D373A"/>
    <w:rsid w:val="3F8F5A05"/>
    <w:rsid w:val="3FD17C46"/>
    <w:rsid w:val="3FD339BE"/>
    <w:rsid w:val="3FF54B72"/>
    <w:rsid w:val="40073668"/>
    <w:rsid w:val="402B1C7A"/>
    <w:rsid w:val="40363F4D"/>
    <w:rsid w:val="408E0B98"/>
    <w:rsid w:val="40EA0FAE"/>
    <w:rsid w:val="41175B2C"/>
    <w:rsid w:val="413B4B1F"/>
    <w:rsid w:val="41460C02"/>
    <w:rsid w:val="4149060F"/>
    <w:rsid w:val="41531E07"/>
    <w:rsid w:val="416074D3"/>
    <w:rsid w:val="4163290A"/>
    <w:rsid w:val="416760A6"/>
    <w:rsid w:val="41760AA5"/>
    <w:rsid w:val="41967946"/>
    <w:rsid w:val="41CE268F"/>
    <w:rsid w:val="41DB1CB4"/>
    <w:rsid w:val="41F076C9"/>
    <w:rsid w:val="41F60AD4"/>
    <w:rsid w:val="42311E19"/>
    <w:rsid w:val="42403B3B"/>
    <w:rsid w:val="42894808"/>
    <w:rsid w:val="42914579"/>
    <w:rsid w:val="429B2C49"/>
    <w:rsid w:val="42C17409"/>
    <w:rsid w:val="42C54FDF"/>
    <w:rsid w:val="42D2382D"/>
    <w:rsid w:val="42EC2600"/>
    <w:rsid w:val="430A0B4C"/>
    <w:rsid w:val="43497172"/>
    <w:rsid w:val="434B6EF0"/>
    <w:rsid w:val="43C83EB2"/>
    <w:rsid w:val="43FE2FD4"/>
    <w:rsid w:val="444016B5"/>
    <w:rsid w:val="445B2CE2"/>
    <w:rsid w:val="44735770"/>
    <w:rsid w:val="448A0963"/>
    <w:rsid w:val="44B02520"/>
    <w:rsid w:val="44D212AD"/>
    <w:rsid w:val="44EF2547"/>
    <w:rsid w:val="45376375"/>
    <w:rsid w:val="45410CB2"/>
    <w:rsid w:val="454E5E7D"/>
    <w:rsid w:val="455A06DD"/>
    <w:rsid w:val="456F5F37"/>
    <w:rsid w:val="459656C5"/>
    <w:rsid w:val="459C0CF6"/>
    <w:rsid w:val="45A007E6"/>
    <w:rsid w:val="45B147A1"/>
    <w:rsid w:val="45BB5620"/>
    <w:rsid w:val="45D115DB"/>
    <w:rsid w:val="460E7377"/>
    <w:rsid w:val="460F771A"/>
    <w:rsid w:val="46790470"/>
    <w:rsid w:val="467D3251"/>
    <w:rsid w:val="469519CD"/>
    <w:rsid w:val="46E979A2"/>
    <w:rsid w:val="46FC3DF0"/>
    <w:rsid w:val="47137FAD"/>
    <w:rsid w:val="471F398D"/>
    <w:rsid w:val="47472F21"/>
    <w:rsid w:val="475C698F"/>
    <w:rsid w:val="479A77C1"/>
    <w:rsid w:val="47AD2F03"/>
    <w:rsid w:val="47B24BA1"/>
    <w:rsid w:val="47E55BC7"/>
    <w:rsid w:val="47F93796"/>
    <w:rsid w:val="47FE634A"/>
    <w:rsid w:val="4836117E"/>
    <w:rsid w:val="484F781F"/>
    <w:rsid w:val="4851401A"/>
    <w:rsid w:val="486A50DB"/>
    <w:rsid w:val="487230E1"/>
    <w:rsid w:val="488D7A30"/>
    <w:rsid w:val="48A71838"/>
    <w:rsid w:val="48F055E1"/>
    <w:rsid w:val="490B41C9"/>
    <w:rsid w:val="49282FCC"/>
    <w:rsid w:val="494A0AAA"/>
    <w:rsid w:val="49566EDF"/>
    <w:rsid w:val="496E51FF"/>
    <w:rsid w:val="4971418B"/>
    <w:rsid w:val="498E0B70"/>
    <w:rsid w:val="499C6CC0"/>
    <w:rsid w:val="49B22896"/>
    <w:rsid w:val="49C36851"/>
    <w:rsid w:val="49F20EE5"/>
    <w:rsid w:val="4A056E6A"/>
    <w:rsid w:val="4A3A30BB"/>
    <w:rsid w:val="4A4048B6"/>
    <w:rsid w:val="4A5B358F"/>
    <w:rsid w:val="4A670C31"/>
    <w:rsid w:val="4A7B537E"/>
    <w:rsid w:val="4A8731C5"/>
    <w:rsid w:val="4AB4263E"/>
    <w:rsid w:val="4ADC72BE"/>
    <w:rsid w:val="4AF64A04"/>
    <w:rsid w:val="4B133808"/>
    <w:rsid w:val="4B185640"/>
    <w:rsid w:val="4B3469EB"/>
    <w:rsid w:val="4B3742C7"/>
    <w:rsid w:val="4B653A82"/>
    <w:rsid w:val="4B897627"/>
    <w:rsid w:val="4C196BFC"/>
    <w:rsid w:val="4C687B84"/>
    <w:rsid w:val="4C6E6818"/>
    <w:rsid w:val="4CFB4554"/>
    <w:rsid w:val="4CFD02CC"/>
    <w:rsid w:val="4D2C4621"/>
    <w:rsid w:val="4D4952BF"/>
    <w:rsid w:val="4D4C15F7"/>
    <w:rsid w:val="4D575818"/>
    <w:rsid w:val="4D6D36A4"/>
    <w:rsid w:val="4D8C33FE"/>
    <w:rsid w:val="4DC66910"/>
    <w:rsid w:val="4DD1609C"/>
    <w:rsid w:val="4DDF1CAE"/>
    <w:rsid w:val="4DF64E7D"/>
    <w:rsid w:val="4E492E79"/>
    <w:rsid w:val="4E521354"/>
    <w:rsid w:val="4E604FB7"/>
    <w:rsid w:val="4E7B35FC"/>
    <w:rsid w:val="4EAC01FC"/>
    <w:rsid w:val="4EB2061D"/>
    <w:rsid w:val="4EBB152A"/>
    <w:rsid w:val="4EF41136"/>
    <w:rsid w:val="4EFA0F67"/>
    <w:rsid w:val="4F2C7509"/>
    <w:rsid w:val="4F566175"/>
    <w:rsid w:val="4F635353"/>
    <w:rsid w:val="4F7E4545"/>
    <w:rsid w:val="4F897338"/>
    <w:rsid w:val="4F9F60F3"/>
    <w:rsid w:val="4FE15C83"/>
    <w:rsid w:val="4FE966F0"/>
    <w:rsid w:val="50120532"/>
    <w:rsid w:val="501E2AF4"/>
    <w:rsid w:val="50295C43"/>
    <w:rsid w:val="506D7517"/>
    <w:rsid w:val="506F14E1"/>
    <w:rsid w:val="50753961"/>
    <w:rsid w:val="5076676F"/>
    <w:rsid w:val="508A6E37"/>
    <w:rsid w:val="50C57353"/>
    <w:rsid w:val="50CE7D3D"/>
    <w:rsid w:val="50E2672F"/>
    <w:rsid w:val="50EA6D56"/>
    <w:rsid w:val="50F639B0"/>
    <w:rsid w:val="50FB5F32"/>
    <w:rsid w:val="510175B8"/>
    <w:rsid w:val="510E4700"/>
    <w:rsid w:val="51145BE4"/>
    <w:rsid w:val="51165E00"/>
    <w:rsid w:val="512155DC"/>
    <w:rsid w:val="51330760"/>
    <w:rsid w:val="514A5AAA"/>
    <w:rsid w:val="516C1418"/>
    <w:rsid w:val="5175733A"/>
    <w:rsid w:val="517D0868"/>
    <w:rsid w:val="518C4294"/>
    <w:rsid w:val="51B90429"/>
    <w:rsid w:val="51C770FB"/>
    <w:rsid w:val="51E67581"/>
    <w:rsid w:val="520F496B"/>
    <w:rsid w:val="5268268C"/>
    <w:rsid w:val="52866FBA"/>
    <w:rsid w:val="52A2537B"/>
    <w:rsid w:val="52B834F4"/>
    <w:rsid w:val="52DB4C0C"/>
    <w:rsid w:val="530F10A1"/>
    <w:rsid w:val="531A33A4"/>
    <w:rsid w:val="53364538"/>
    <w:rsid w:val="53691386"/>
    <w:rsid w:val="538452A3"/>
    <w:rsid w:val="53BE3F28"/>
    <w:rsid w:val="53EF6DA5"/>
    <w:rsid w:val="54364D4A"/>
    <w:rsid w:val="54482775"/>
    <w:rsid w:val="544B7B6A"/>
    <w:rsid w:val="549D01C5"/>
    <w:rsid w:val="54A0435F"/>
    <w:rsid w:val="54A60154"/>
    <w:rsid w:val="54DA66B4"/>
    <w:rsid w:val="54E52B8E"/>
    <w:rsid w:val="54F40D0A"/>
    <w:rsid w:val="55382BA4"/>
    <w:rsid w:val="553B7BE4"/>
    <w:rsid w:val="5587107B"/>
    <w:rsid w:val="5593065D"/>
    <w:rsid w:val="5595442F"/>
    <w:rsid w:val="55BE4C30"/>
    <w:rsid w:val="55D7555A"/>
    <w:rsid w:val="55DB7123"/>
    <w:rsid w:val="55E0078B"/>
    <w:rsid w:val="560324CA"/>
    <w:rsid w:val="563A7E9B"/>
    <w:rsid w:val="567E2550"/>
    <w:rsid w:val="56AB2B47"/>
    <w:rsid w:val="56F15EAF"/>
    <w:rsid w:val="57201787"/>
    <w:rsid w:val="57305E0A"/>
    <w:rsid w:val="575E22AF"/>
    <w:rsid w:val="57716ADD"/>
    <w:rsid w:val="57B00D9C"/>
    <w:rsid w:val="57BD6FC7"/>
    <w:rsid w:val="57CA580C"/>
    <w:rsid w:val="57D139A2"/>
    <w:rsid w:val="57DE0CFA"/>
    <w:rsid w:val="58077BC8"/>
    <w:rsid w:val="5825157B"/>
    <w:rsid w:val="5827389A"/>
    <w:rsid w:val="58276B45"/>
    <w:rsid w:val="58536643"/>
    <w:rsid w:val="58564D34"/>
    <w:rsid w:val="58683B10"/>
    <w:rsid w:val="5874777C"/>
    <w:rsid w:val="58886673"/>
    <w:rsid w:val="588F0FDD"/>
    <w:rsid w:val="58AE691E"/>
    <w:rsid w:val="58CB74D0"/>
    <w:rsid w:val="594463E1"/>
    <w:rsid w:val="59683F4D"/>
    <w:rsid w:val="598332BB"/>
    <w:rsid w:val="598F49A2"/>
    <w:rsid w:val="59D14FBA"/>
    <w:rsid w:val="59D35B1C"/>
    <w:rsid w:val="59D40F03"/>
    <w:rsid w:val="59E26C8B"/>
    <w:rsid w:val="5A146D55"/>
    <w:rsid w:val="5A1C61C8"/>
    <w:rsid w:val="5A2734CC"/>
    <w:rsid w:val="5A6A5AF8"/>
    <w:rsid w:val="5A6E2809"/>
    <w:rsid w:val="5A702CE3"/>
    <w:rsid w:val="5A731BCE"/>
    <w:rsid w:val="5A7D47FA"/>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295FAD"/>
    <w:rsid w:val="5C2F5EFD"/>
    <w:rsid w:val="5C3B2BBF"/>
    <w:rsid w:val="5C4557B5"/>
    <w:rsid w:val="5C6C4B26"/>
    <w:rsid w:val="5C822B50"/>
    <w:rsid w:val="5C86208C"/>
    <w:rsid w:val="5CBA5166"/>
    <w:rsid w:val="5CF3349A"/>
    <w:rsid w:val="5D041624"/>
    <w:rsid w:val="5D0C00B7"/>
    <w:rsid w:val="5D3545F3"/>
    <w:rsid w:val="5D495005"/>
    <w:rsid w:val="5D916C44"/>
    <w:rsid w:val="5D9A471F"/>
    <w:rsid w:val="5DD47E86"/>
    <w:rsid w:val="5DE56DB4"/>
    <w:rsid w:val="5E850121"/>
    <w:rsid w:val="5E9B3C43"/>
    <w:rsid w:val="5E9C2F2A"/>
    <w:rsid w:val="5E9D6065"/>
    <w:rsid w:val="5EED299C"/>
    <w:rsid w:val="5EFE0303"/>
    <w:rsid w:val="5F114560"/>
    <w:rsid w:val="5F3D27AA"/>
    <w:rsid w:val="5F52528A"/>
    <w:rsid w:val="5F747934"/>
    <w:rsid w:val="5F872946"/>
    <w:rsid w:val="5F933F51"/>
    <w:rsid w:val="5FEB0458"/>
    <w:rsid w:val="5FEC48FC"/>
    <w:rsid w:val="601654D5"/>
    <w:rsid w:val="60261490"/>
    <w:rsid w:val="603658A5"/>
    <w:rsid w:val="60A62FEE"/>
    <w:rsid w:val="60AA5873"/>
    <w:rsid w:val="60AC4BD0"/>
    <w:rsid w:val="60DA29A7"/>
    <w:rsid w:val="60DF7FBD"/>
    <w:rsid w:val="61477910"/>
    <w:rsid w:val="615564D1"/>
    <w:rsid w:val="61565DA5"/>
    <w:rsid w:val="61811074"/>
    <w:rsid w:val="61B72597"/>
    <w:rsid w:val="61D770D4"/>
    <w:rsid w:val="61DE0EB4"/>
    <w:rsid w:val="62154B16"/>
    <w:rsid w:val="62173786"/>
    <w:rsid w:val="62324A13"/>
    <w:rsid w:val="627D5CDF"/>
    <w:rsid w:val="62944DD7"/>
    <w:rsid w:val="62D67621"/>
    <w:rsid w:val="62F31AFE"/>
    <w:rsid w:val="6320666B"/>
    <w:rsid w:val="6323442F"/>
    <w:rsid w:val="63471E49"/>
    <w:rsid w:val="637E46EC"/>
    <w:rsid w:val="63A95D47"/>
    <w:rsid w:val="63AF53BD"/>
    <w:rsid w:val="63CF3EF5"/>
    <w:rsid w:val="640B731B"/>
    <w:rsid w:val="641C35DD"/>
    <w:rsid w:val="642A59F3"/>
    <w:rsid w:val="642D54E3"/>
    <w:rsid w:val="6444359A"/>
    <w:rsid w:val="645A1FF5"/>
    <w:rsid w:val="64721148"/>
    <w:rsid w:val="6486408C"/>
    <w:rsid w:val="648B6A6E"/>
    <w:rsid w:val="64983636"/>
    <w:rsid w:val="64A2382B"/>
    <w:rsid w:val="64AC465A"/>
    <w:rsid w:val="64B4350F"/>
    <w:rsid w:val="64C13892"/>
    <w:rsid w:val="64D811DF"/>
    <w:rsid w:val="65353C1B"/>
    <w:rsid w:val="65393A14"/>
    <w:rsid w:val="653C53F5"/>
    <w:rsid w:val="653D3504"/>
    <w:rsid w:val="653E102A"/>
    <w:rsid w:val="653F3FA1"/>
    <w:rsid w:val="655414F5"/>
    <w:rsid w:val="655C3B7E"/>
    <w:rsid w:val="655D5954"/>
    <w:rsid w:val="656C3F5A"/>
    <w:rsid w:val="657038D9"/>
    <w:rsid w:val="6578453C"/>
    <w:rsid w:val="657F58CB"/>
    <w:rsid w:val="659A588A"/>
    <w:rsid w:val="65A50952"/>
    <w:rsid w:val="65C37EAD"/>
    <w:rsid w:val="65E971E8"/>
    <w:rsid w:val="66456B14"/>
    <w:rsid w:val="6647071F"/>
    <w:rsid w:val="66636F9A"/>
    <w:rsid w:val="66822308"/>
    <w:rsid w:val="668B3DA0"/>
    <w:rsid w:val="669B2BD8"/>
    <w:rsid w:val="66C73B2F"/>
    <w:rsid w:val="66DA16B0"/>
    <w:rsid w:val="66DA66F4"/>
    <w:rsid w:val="67027FFB"/>
    <w:rsid w:val="670A5668"/>
    <w:rsid w:val="671E7365"/>
    <w:rsid w:val="671F0122"/>
    <w:rsid w:val="67720763"/>
    <w:rsid w:val="677A27ED"/>
    <w:rsid w:val="677F1A98"/>
    <w:rsid w:val="6799749C"/>
    <w:rsid w:val="67A94E81"/>
    <w:rsid w:val="67BD6B7E"/>
    <w:rsid w:val="680D70EE"/>
    <w:rsid w:val="68362271"/>
    <w:rsid w:val="683F7593"/>
    <w:rsid w:val="68541290"/>
    <w:rsid w:val="6867713B"/>
    <w:rsid w:val="68695DE6"/>
    <w:rsid w:val="68816331"/>
    <w:rsid w:val="68BA0AEE"/>
    <w:rsid w:val="68BB3DB9"/>
    <w:rsid w:val="68ED02CC"/>
    <w:rsid w:val="68F55EA4"/>
    <w:rsid w:val="69110F2F"/>
    <w:rsid w:val="69623539"/>
    <w:rsid w:val="69763488"/>
    <w:rsid w:val="69782D5D"/>
    <w:rsid w:val="69955386"/>
    <w:rsid w:val="69E44896"/>
    <w:rsid w:val="6A65682A"/>
    <w:rsid w:val="6A8120E5"/>
    <w:rsid w:val="6A8C5653"/>
    <w:rsid w:val="6A90057A"/>
    <w:rsid w:val="6A9E4A45"/>
    <w:rsid w:val="6AC246D7"/>
    <w:rsid w:val="6ACB15B2"/>
    <w:rsid w:val="6ACB6C4D"/>
    <w:rsid w:val="6ADD26F4"/>
    <w:rsid w:val="6AEF704E"/>
    <w:rsid w:val="6AF428B7"/>
    <w:rsid w:val="6AFB3C45"/>
    <w:rsid w:val="6B00125C"/>
    <w:rsid w:val="6B2333EC"/>
    <w:rsid w:val="6B2807B2"/>
    <w:rsid w:val="6B3B4041"/>
    <w:rsid w:val="6B543355"/>
    <w:rsid w:val="6B5C52B4"/>
    <w:rsid w:val="6B7C40B1"/>
    <w:rsid w:val="6B9366F7"/>
    <w:rsid w:val="6BB24671"/>
    <w:rsid w:val="6BBA57F8"/>
    <w:rsid w:val="6BDD334B"/>
    <w:rsid w:val="6BFF59B7"/>
    <w:rsid w:val="6C19757C"/>
    <w:rsid w:val="6C2172E3"/>
    <w:rsid w:val="6C674161"/>
    <w:rsid w:val="6C9B184C"/>
    <w:rsid w:val="6C9E316C"/>
    <w:rsid w:val="6CB83AF0"/>
    <w:rsid w:val="6CC62031"/>
    <w:rsid w:val="6CCD7863"/>
    <w:rsid w:val="6CE41A5D"/>
    <w:rsid w:val="6D0C7C9A"/>
    <w:rsid w:val="6D107750"/>
    <w:rsid w:val="6D4A2B29"/>
    <w:rsid w:val="6D884382"/>
    <w:rsid w:val="6D994950"/>
    <w:rsid w:val="6D9E2FAE"/>
    <w:rsid w:val="6DA34344"/>
    <w:rsid w:val="6DB93944"/>
    <w:rsid w:val="6DB97361"/>
    <w:rsid w:val="6DEE7A91"/>
    <w:rsid w:val="6E007112"/>
    <w:rsid w:val="6E4476B1"/>
    <w:rsid w:val="6E531FEA"/>
    <w:rsid w:val="6E5D69C5"/>
    <w:rsid w:val="6E5F7886"/>
    <w:rsid w:val="6E8513F5"/>
    <w:rsid w:val="6EA711FC"/>
    <w:rsid w:val="6EBC28BC"/>
    <w:rsid w:val="6EE669BA"/>
    <w:rsid w:val="6EEC3A2C"/>
    <w:rsid w:val="6EED775F"/>
    <w:rsid w:val="6F0D03EB"/>
    <w:rsid w:val="6F1D56EE"/>
    <w:rsid w:val="6F452055"/>
    <w:rsid w:val="6F466764"/>
    <w:rsid w:val="6F586D15"/>
    <w:rsid w:val="6F6137A6"/>
    <w:rsid w:val="6F632E9C"/>
    <w:rsid w:val="6F722697"/>
    <w:rsid w:val="6F803D39"/>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A14E1B"/>
    <w:rsid w:val="71D71133"/>
    <w:rsid w:val="72023B0B"/>
    <w:rsid w:val="720A0C12"/>
    <w:rsid w:val="72374DAB"/>
    <w:rsid w:val="72513A74"/>
    <w:rsid w:val="72710856"/>
    <w:rsid w:val="7275720A"/>
    <w:rsid w:val="72850298"/>
    <w:rsid w:val="729A01E8"/>
    <w:rsid w:val="72D52FCE"/>
    <w:rsid w:val="72E64B19"/>
    <w:rsid w:val="72E72D01"/>
    <w:rsid w:val="73274D6C"/>
    <w:rsid w:val="733D33A2"/>
    <w:rsid w:val="7344188A"/>
    <w:rsid w:val="734750AB"/>
    <w:rsid w:val="736305DA"/>
    <w:rsid w:val="73CD5F4D"/>
    <w:rsid w:val="73F7090D"/>
    <w:rsid w:val="743133E3"/>
    <w:rsid w:val="744D3038"/>
    <w:rsid w:val="747F2F2B"/>
    <w:rsid w:val="74A7782F"/>
    <w:rsid w:val="74C01A5C"/>
    <w:rsid w:val="74C13209"/>
    <w:rsid w:val="74C71742"/>
    <w:rsid w:val="74F72384"/>
    <w:rsid w:val="74FB3901"/>
    <w:rsid w:val="74FD2BE4"/>
    <w:rsid w:val="75086ADE"/>
    <w:rsid w:val="751D7DBC"/>
    <w:rsid w:val="753A7A60"/>
    <w:rsid w:val="75515D5C"/>
    <w:rsid w:val="75860BDA"/>
    <w:rsid w:val="75A241B0"/>
    <w:rsid w:val="75F74182"/>
    <w:rsid w:val="76023B98"/>
    <w:rsid w:val="7630230D"/>
    <w:rsid w:val="764D5751"/>
    <w:rsid w:val="766A1C7F"/>
    <w:rsid w:val="769836F9"/>
    <w:rsid w:val="76C27D0D"/>
    <w:rsid w:val="76E9357C"/>
    <w:rsid w:val="770C0F88"/>
    <w:rsid w:val="771E25CC"/>
    <w:rsid w:val="77224B21"/>
    <w:rsid w:val="774911D3"/>
    <w:rsid w:val="776E39F1"/>
    <w:rsid w:val="7784359E"/>
    <w:rsid w:val="779A6594"/>
    <w:rsid w:val="779D6084"/>
    <w:rsid w:val="77B27C24"/>
    <w:rsid w:val="77E872FF"/>
    <w:rsid w:val="780D320A"/>
    <w:rsid w:val="781B2D3D"/>
    <w:rsid w:val="783A5FA7"/>
    <w:rsid w:val="78485FF0"/>
    <w:rsid w:val="7859644F"/>
    <w:rsid w:val="788D60F9"/>
    <w:rsid w:val="788F00C3"/>
    <w:rsid w:val="78A07BDA"/>
    <w:rsid w:val="78CA4969"/>
    <w:rsid w:val="78E33BC5"/>
    <w:rsid w:val="78FF0DA4"/>
    <w:rsid w:val="793B5B55"/>
    <w:rsid w:val="79687F5D"/>
    <w:rsid w:val="79866C78"/>
    <w:rsid w:val="79986B03"/>
    <w:rsid w:val="799C1155"/>
    <w:rsid w:val="79D834AF"/>
    <w:rsid w:val="79E021C9"/>
    <w:rsid w:val="7A230AC3"/>
    <w:rsid w:val="7A434224"/>
    <w:rsid w:val="7A6631DA"/>
    <w:rsid w:val="7A8422E1"/>
    <w:rsid w:val="7A8F6158"/>
    <w:rsid w:val="7A9E283F"/>
    <w:rsid w:val="7B32464C"/>
    <w:rsid w:val="7B38603E"/>
    <w:rsid w:val="7B547F32"/>
    <w:rsid w:val="7BBD4F47"/>
    <w:rsid w:val="7BED27A7"/>
    <w:rsid w:val="7C024827"/>
    <w:rsid w:val="7C091F3A"/>
    <w:rsid w:val="7C0B180E"/>
    <w:rsid w:val="7C645384"/>
    <w:rsid w:val="7C670F2A"/>
    <w:rsid w:val="7C9D616A"/>
    <w:rsid w:val="7CAA5BB2"/>
    <w:rsid w:val="7CAF4890"/>
    <w:rsid w:val="7CB24380"/>
    <w:rsid w:val="7CC76DD8"/>
    <w:rsid w:val="7D1A6E61"/>
    <w:rsid w:val="7D3B25C7"/>
    <w:rsid w:val="7D511DEB"/>
    <w:rsid w:val="7D553689"/>
    <w:rsid w:val="7D7B6E68"/>
    <w:rsid w:val="7D8B0D56"/>
    <w:rsid w:val="7D9819DE"/>
    <w:rsid w:val="7DDE5692"/>
    <w:rsid w:val="7DE60C95"/>
    <w:rsid w:val="7E092DCD"/>
    <w:rsid w:val="7E1C6DB5"/>
    <w:rsid w:val="7E215319"/>
    <w:rsid w:val="7E2412AD"/>
    <w:rsid w:val="7E5535E0"/>
    <w:rsid w:val="7E6644EF"/>
    <w:rsid w:val="7E7347A5"/>
    <w:rsid w:val="7E9C0FCE"/>
    <w:rsid w:val="7E9F26E2"/>
    <w:rsid w:val="7EB90B73"/>
    <w:rsid w:val="7ECB1EA2"/>
    <w:rsid w:val="7EEC7FF7"/>
    <w:rsid w:val="7F201723"/>
    <w:rsid w:val="7F2A46A1"/>
    <w:rsid w:val="7F2D7272"/>
    <w:rsid w:val="7F8738A2"/>
    <w:rsid w:val="7F963AE5"/>
    <w:rsid w:val="7FA06711"/>
    <w:rsid w:val="7FAF3154"/>
    <w:rsid w:val="7FC25A3C"/>
    <w:rsid w:val="7FC376C7"/>
    <w:rsid w:val="7FF67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cs="Times New Roman"/>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eastAsia="宋体" w:cs="Times New Roman"/>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cs="Times New Roman"/>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6">
    <w:name w:val="Normal Indent"/>
    <w:basedOn w:val="1"/>
    <w:next w:val="1"/>
    <w:autoRedefine/>
    <w:qFormat/>
    <w:uiPriority w:val="0"/>
    <w:pPr>
      <w:widowControl/>
      <w:ind w:firstLine="420"/>
      <w:jc w:val="left"/>
    </w:pPr>
    <w:rPr>
      <w:kern w:val="0"/>
      <w:sz w:val="20"/>
      <w:szCs w:val="20"/>
    </w:rPr>
  </w:style>
  <w:style w:type="paragraph" w:styleId="7">
    <w:name w:val="Body Text"/>
    <w:basedOn w:val="1"/>
    <w:next w:val="8"/>
    <w:autoRedefine/>
    <w:qFormat/>
    <w:uiPriority w:val="0"/>
    <w:pPr>
      <w:spacing w:after="120"/>
    </w:pPr>
  </w:style>
  <w:style w:type="paragraph" w:customStyle="1" w:styleId="8">
    <w:name w:val="正文首行缩进1"/>
    <w:basedOn w:val="1"/>
    <w:qFormat/>
    <w:uiPriority w:val="99"/>
    <w:pPr>
      <w:spacing w:after="120"/>
      <w:ind w:firstLine="420" w:firstLineChars="100"/>
    </w:pPr>
  </w:style>
  <w:style w:type="paragraph" w:styleId="9">
    <w:name w:val="Body Text Indent"/>
    <w:basedOn w:val="1"/>
    <w:next w:val="10"/>
    <w:autoRedefine/>
    <w:qFormat/>
    <w:uiPriority w:val="0"/>
    <w:pPr>
      <w:spacing w:after="120"/>
      <w:ind w:left="420" w:leftChars="200"/>
    </w:pPr>
  </w:style>
  <w:style w:type="paragraph" w:styleId="10">
    <w:name w:val="envelope return"/>
    <w:basedOn w:val="1"/>
    <w:autoRedefine/>
    <w:qFormat/>
    <w:uiPriority w:val="0"/>
    <w:pPr>
      <w:snapToGrid w:val="0"/>
    </w:pPr>
    <w:rPr>
      <w:rFonts w:ascii="Arial" w:hAnsi="Arial" w:cs="Arial"/>
    </w:rPr>
  </w:style>
  <w:style w:type="paragraph" w:styleId="11">
    <w:name w:val="Plain Text"/>
    <w:basedOn w:val="1"/>
    <w:autoRedefine/>
    <w:qFormat/>
    <w:uiPriority w:val="0"/>
    <w:rPr>
      <w:rFonts w:ascii="宋体" w:hAnsi="Courier New"/>
      <w:szCs w:val="21"/>
    </w:rPr>
  </w:style>
  <w:style w:type="paragraph" w:styleId="12">
    <w:name w:val="Body Text Indent 2"/>
    <w:basedOn w:val="1"/>
    <w:next w:val="13"/>
    <w:autoRedefine/>
    <w:qFormat/>
    <w:uiPriority w:val="0"/>
    <w:pPr>
      <w:ind w:firstLine="640" w:firstLineChars="200"/>
    </w:pPr>
    <w:rPr>
      <w:color w:val="0000FF"/>
      <w:kern w:val="0"/>
      <w:sz w:val="32"/>
    </w:rPr>
  </w:style>
  <w:style w:type="paragraph" w:styleId="13">
    <w:name w:val="header"/>
    <w:basedOn w:val="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footer"/>
    <w:basedOn w:val="1"/>
    <w:autoRedefine/>
    <w:semiHidden/>
    <w:unhideWhenUsed/>
    <w:qFormat/>
    <w:uiPriority w:val="99"/>
    <w:pPr>
      <w:tabs>
        <w:tab w:val="center" w:pos="4153"/>
        <w:tab w:val="right" w:pos="8306"/>
      </w:tabs>
      <w:snapToGrid w:val="0"/>
      <w:jc w:val="left"/>
    </w:pPr>
    <w:rPr>
      <w:sz w:val="18"/>
      <w:szCs w:val="18"/>
    </w:rPr>
  </w:style>
  <w:style w:type="paragraph" w:styleId="15">
    <w:name w:val="toc 2"/>
    <w:basedOn w:val="1"/>
    <w:next w:val="1"/>
    <w:autoRedefine/>
    <w:qFormat/>
    <w:uiPriority w:val="0"/>
    <w:pPr>
      <w:ind w:left="420" w:leftChars="200"/>
    </w:pPr>
  </w:style>
  <w:style w:type="paragraph" w:styleId="1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7">
    <w:name w:val="Body Text First Indent 2"/>
    <w:basedOn w:val="9"/>
    <w:next w:val="6"/>
    <w:autoRedefine/>
    <w:qFormat/>
    <w:uiPriority w:val="0"/>
    <w:pPr>
      <w:ind w:firstLine="420" w:firstLineChars="200"/>
    </w:pPr>
    <w:rPr>
      <w:rFonts w:ascii="宋体"/>
      <w:kern w:val="0"/>
      <w:sz w:val="20"/>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autoRedefine/>
    <w:qFormat/>
    <w:uiPriority w:val="0"/>
    <w:rPr>
      <w:b/>
      <w:bCs/>
    </w:r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autoRedefine/>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20"/>
    <w:autoRedefine/>
    <w:qFormat/>
    <w:uiPriority w:val="0"/>
    <w:rPr>
      <w:rFonts w:hint="eastAsia" w:ascii="宋体" w:hAnsi="宋体" w:eastAsia="宋体" w:cs="宋体"/>
      <w:color w:val="000000"/>
      <w:sz w:val="28"/>
      <w:szCs w:val="28"/>
      <w:u w:val="none"/>
      <w:vertAlign w:val="superscript"/>
    </w:rPr>
  </w:style>
  <w:style w:type="character" w:customStyle="1" w:styleId="26">
    <w:name w:val="font61"/>
    <w:basedOn w:val="20"/>
    <w:autoRedefine/>
    <w:qFormat/>
    <w:uiPriority w:val="0"/>
    <w:rPr>
      <w:rFonts w:hint="eastAsia" w:ascii="宋体" w:hAnsi="宋体" w:eastAsia="宋体" w:cs="宋体"/>
      <w:color w:val="000000"/>
      <w:sz w:val="28"/>
      <w:szCs w:val="28"/>
      <w:u w:val="none"/>
      <w:vertAlign w:val="superscript"/>
    </w:rPr>
  </w:style>
  <w:style w:type="character" w:customStyle="1" w:styleId="27">
    <w:name w:val="font01"/>
    <w:basedOn w:val="20"/>
    <w:autoRedefine/>
    <w:qFormat/>
    <w:uiPriority w:val="0"/>
    <w:rPr>
      <w:rFonts w:hint="eastAsia" w:ascii="宋体" w:hAnsi="宋体" w:eastAsia="宋体" w:cs="宋体"/>
      <w:color w:val="000000"/>
      <w:sz w:val="28"/>
      <w:szCs w:val="28"/>
      <w:u w:val="none"/>
      <w:vertAlign w:val="superscript"/>
    </w:rPr>
  </w:style>
  <w:style w:type="paragraph" w:styleId="28">
    <w:name w:val="List Paragraph"/>
    <w:basedOn w:val="1"/>
    <w:autoRedefine/>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eastAsia="宋体" w:cs="宋体"/>
      <w:sz w:val="11"/>
      <w:szCs w:val="11"/>
      <w:lang w:val="en-US" w:eastAsia="en-US" w:bidi="ar-SA"/>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eastAsia="宋体" w:cs="Times New Roman"/>
      <w:spacing w:val="10"/>
      <w:kern w:val="0"/>
      <w:sz w:val="24"/>
      <w:szCs w:val="24"/>
    </w:rPr>
  </w:style>
  <w:style w:type="paragraph" w:customStyle="1" w:styleId="34">
    <w:name w:val="Definition Term"/>
    <w:basedOn w:val="1"/>
    <w:next w:val="1"/>
    <w:qFormat/>
    <w:uiPriority w:val="0"/>
    <w:pPr>
      <w:spacing w:line="288" w:lineRule="auto"/>
    </w:pPr>
    <w:rPr>
      <w:sz w:val="21"/>
    </w:rPr>
  </w:style>
  <w:style w:type="character" w:customStyle="1" w:styleId="35">
    <w:name w:val="font81"/>
    <w:basedOn w:val="20"/>
    <w:qFormat/>
    <w:uiPriority w:val="0"/>
    <w:rPr>
      <w:rFonts w:hint="eastAsia" w:ascii="宋体" w:hAnsi="宋体" w:eastAsia="宋体" w:cs="宋体"/>
      <w:color w:val="000000"/>
      <w:sz w:val="24"/>
      <w:szCs w:val="24"/>
      <w:u w:val="none"/>
    </w:rPr>
  </w:style>
  <w:style w:type="character" w:customStyle="1" w:styleId="36">
    <w:name w:val="font41"/>
    <w:basedOn w:val="20"/>
    <w:qFormat/>
    <w:uiPriority w:val="0"/>
    <w:rPr>
      <w:rFonts w:hint="default" w:ascii="Calibri" w:hAnsi="Calibri" w:cs="Calibri"/>
      <w:color w:val="000000"/>
      <w:sz w:val="24"/>
      <w:szCs w:val="24"/>
      <w:u w:val="none"/>
    </w:rPr>
  </w:style>
  <w:style w:type="character" w:customStyle="1" w:styleId="37">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16939525-fb9e-4414-89e5-11b3baf2c98b</errorID>
      <errorWord>第一章  比选公告</errorWord>
      <group>L1_AI</group>
      <groupName>深度校对</groupName>
      <ability>L2_AI_Title</ability>
      <abilityName>标题检查</abilityName>
      <candidateList/>
      <explain>相邻标题序号不连续。文档中一级标题出现重复的‘第一章  比选公告’，正确的序号应依次递增，此处重复的‘第一章  比选公告’导致相邻标题序号不连续。</explain>
      <paraID>1554C33A</paraID>
      <start>0</start>
      <end>9</end>
      <status>ignored</status>
      <modifiedWord/>
      <trackRevisions>false</trackRevisions>
    </reviewItem>
    <reviewItem>
      <errorID>b8881bb8-2bd0-4538-a6ee-cdff531d6fe2</errorID>
      <errorWord>工厂的</errorWord>
      <group>L1_AI</group>
      <groupName>深度校对</groupName>
      <ability>L2_AI_Grammar</ability>
      <abilityName>语法纠错</abilityName>
      <candidateList>
        <item>工厂</item>
      </candidateList>
      <explain/>
      <paraID>7A824020</paraID>
      <start>58</start>
      <end>60</end>
      <status>modified</status>
      <modifiedWord>工厂</modifiedWord>
      <trackRevisions>false</trackRevisions>
    </reviewItem>
    <reviewItem>
      <errorID>35b1d2c6-2d16-4aa6-b022-eec47be23ce5</errorID>
      <errorWord>。</errorWord>
      <group>L1_AI</group>
      <groupName>深度校对</groupName>
      <ability>L2_AI_Punc</ability>
      <abilityName>标点纠错</abilityName>
      <candidateList>
        <item>，</item>
      </candidateList>
      <explain/>
      <paraID>2E601207</paraID>
      <start>36</start>
      <end>37</end>
      <status>modified</status>
      <modifiedWord>，</modifiedWord>
      <trackRevisions>false</trackRevisions>
    </reviewItem>
    <reviewItem>
      <errorID>6e3df0ca-a9fa-4be9-9da6-a052f27e48e1</errorID>
      <errorWord>，</errorWord>
      <group>L1_Word</group>
      <groupName>字词问题</groupName>
      <ability>L2_Typo</ability>
      <abilityName>字词错误</abilityName>
      <candidateList>
        <item>，每</item>
      </candidateList>
      <explain/>
      <paraID> 89F6D7D</paraID>
      <start>18</start>
      <end>20</end>
      <status>modified</status>
      <modifiedWord>，每</modifiedWord>
      <trackRevisions>false</trackRevisions>
    </reviewItem>
    <reviewItem>
      <errorID>5b430c26-90aa-4902-b7f4-3b61bd606a7d</errorID>
      <errorWord>责人</errorWord>
      <group>L1_Word</group>
      <groupName>字词问题</groupName>
      <ability>L2_Typo</ability>
      <abilityName>字词错误</abilityName>
      <candidateList>
        <item>责任</item>
      </candidateList>
      <explain>〈名〉❶分内应做的事：尽～。❷没有做好分内应做的事，因而应当承担的过失：追究～。</explain>
      <paraID> D15C101</paraID>
      <start>0</start>
      <end>2</end>
      <status>ignored</status>
      <modifiedWord/>
      <trackRevisions>false</trackRevisions>
    </reviewItem>
    <reviewItem>
      <errorID>29bf1281-1821-4ea9-b6d8-dcde4ddc2ff3</errorID>
      <errorWord>评</errorWord>
      <group>L1_Word</group>
      <groupName>字词问题</groupName>
      <ability>L2_Typo</ability>
      <abilityName>字词错误</abilityName>
      <candidateList>
        <item>评估</item>
      </candidateList>
      <explain/>
      <paraID>2317A994</paraID>
      <start>2</start>
      <end>3</end>
      <status>ignored</status>
      <modifiedWord/>
      <trackRevisions>false</trackRevisions>
    </reviewItem>
    <reviewItem>
      <errorID>704cd6cf-f13b-4662-870d-26938742fe7b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30FF3B3F</paraID>
      <start>14</start>
      <end>15</end>
      <status>modified</status>
      <modifiedWord>—</modifiedWord>
      <trackRevisions>false</trackRevisions>
    </reviewItem>
    <reviewItem>
      <errorID>08bb034e-224b-4e96-a1ba-a864d5a6cb1b</errorID>
      <errorWord>项目业绩</errorWord>
      <group>L1_Knowledge</group>
      <groupName>知识性问题</groupName>
      <ability>L2_Term</ability>
      <abilityName>专业术语</abilityName>
      <candidateList>
        <item>项目业主</item>
      </candidateList>
      <explain/>
      <paraID>7107A125</paraID>
      <start>3</start>
      <end>7</end>
      <status>ignored</status>
      <modifiedWord/>
      <trackRevisions>false</trackRevisions>
    </reviewItem>
    <reviewItem>
      <errorID>c9793504-64e7-43cb-b2c2-3c417f49ee69</errorID>
      <errorWord>〉</errorWord>
      <group>L1_Punc</group>
      <groupName>标点问题</groupName>
      <ability>L2_Punc</ability>
      <abilityName>标点符号检查</abilityName>
      <candidateList/>
      <explain/>
      <paraID>22BD5F2A</paraID>
      <start>4</start>
      <end>5</end>
      <status>ignored</status>
      <modifiedWord/>
      <trackRevisions>false</trackRevisions>
    </reviewItem>
    <reviewItem>
      <errorID>f9bd79ef-d0fb-4ec8-bb90-6399c8d951df</errorID>
      <errorWord>〈</errorWord>
      <group>L1_Punc</group>
      <groupName>标点问题</groupName>
      <ability>L2_Punc</ability>
      <abilityName>标点符号检查</abilityName>
      <candidateList/>
      <explain/>
      <paraID>181BD992</paraID>
      <start>4</start>
      <end>5</end>
      <status>ignored</status>
      <modifiedWord/>
      <trackRevisions>false</trackRevisions>
    </reviewItem>
    <reviewItem>
      <errorID>c51a2517-260f-4f2a-a46c-eac4ba363d35</errorID>
      <errorWord>，</errorWord>
      <group>L1_Word</group>
      <groupName>字词问题</groupName>
      <ability>L2_Typo</ability>
      <abilityName>字词错误</abilityName>
      <candidateList>
        <item>，每</item>
      </candidateList>
      <explain/>
      <paraID>1C6AE2F1</paraID>
      <start>20</start>
      <end>22</end>
      <status>modified</status>
      <modifiedWord>，每</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f93ddd-b287-4c13-b0b3-7797a41412fc}">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109</Words>
  <Characters>112</Characters>
  <Lines>0</Lines>
  <Paragraphs>0</Paragraphs>
  <TotalTime>1</TotalTime>
  <ScaleCrop>false</ScaleCrop>
  <LinksUpToDate>false</LinksUpToDate>
  <CharactersWithSpaces>132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_盟</cp:lastModifiedBy>
  <cp:lastPrinted>2025-12-10T01:55:00Z</cp:lastPrinted>
  <dcterms:modified xsi:type="dcterms:W3CDTF">2025-12-18T02:38:28Z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0AE88675DC2647AC80C722F951FC152E_13</vt:lpwstr>
  </property>
  <property fmtid="{D5CDD505-2E9C-101B-9397-08002B2CF9AE}" pid="4" name="KSOTemplateDocerSaveRecord">
    <vt:lpwstr>eyJoZGlkIjoiZTM4ZGNlM2IyNjJiNGY3NDllYjljMTJmNDQ4MTliNDciLCJ1c2VySWQiOiIyNjI5NTYyMTEifQ==</vt:lpwstr>
  </property>
</Properties>
</file>