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3EA11">
      <w:pPr>
        <w:rPr>
          <w:rFonts w:hint="eastAsia" w:ascii="方正仿宋_GB2312" w:hAnsi="方正仿宋_GB2312" w:eastAsia="方正仿宋_GB2312" w:cs="方正仿宋_GB2312"/>
          <w:sz w:val="32"/>
          <w:szCs w:val="32"/>
          <w:lang w:val="en-US" w:eastAsia="zh-CN"/>
        </w:rPr>
      </w:pPr>
      <w:bookmarkStart w:id="0" w:name="_GoBack"/>
      <w:r>
        <w:rPr>
          <w:rFonts w:hint="eastAsia" w:ascii="方正仿宋_GB2312" w:hAnsi="方正仿宋_GB2312" w:eastAsia="方正仿宋_GB2312" w:cs="方正仿宋_GB2312"/>
          <w:sz w:val="32"/>
          <w:szCs w:val="32"/>
          <w:lang w:val="en-US" w:eastAsia="zh-CN"/>
        </w:rPr>
        <w:t>附件：</w:t>
      </w:r>
    </w:p>
    <w:p w14:paraId="1C6FB3F4">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衡阳国投诚信服务机构目录库清退的情形</w:t>
      </w:r>
      <w:bookmarkEnd w:id="0"/>
    </w:p>
    <w:p w14:paraId="770DDACB">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衡阳国投诚信服务机构目录库（以下简称“目录库”）实行动态管理，在有效运行期间，有下列情形之一的，即时从目录库中清退:</w:t>
      </w:r>
    </w:p>
    <w:p w14:paraId="5B68B01B">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(一)已不符合备选目录库条件的;</w:t>
      </w:r>
    </w:p>
    <w:p w14:paraId="53E04C68">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(二)不能按合同约定时间完成项目委托业务的;</w:t>
      </w:r>
    </w:p>
    <w:p w14:paraId="5E96AC0D">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(三)执业水平、执业质量不高，其出具的中介执业报告经集团公司审查有较大质量问题或与实际情况严重不符的;</w:t>
      </w:r>
    </w:p>
    <w:p w14:paraId="10C7B83C">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(四)因专业水平差、工作失误或管理不善造成被服务单位或者委托方国有资产较大损失的;</w:t>
      </w:r>
    </w:p>
    <w:p w14:paraId="3F25BC81">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(五)泄露国家机密和企业商业秘密的;</w:t>
      </w:r>
    </w:p>
    <w:p w14:paraId="72839F39">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(六)发现有弄虚作假、恶意串通围标等不诚实行为的，或近三年来有违法违规行为的;</w:t>
      </w:r>
    </w:p>
    <w:p w14:paraId="2D6CBCE1">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(七)利用中介服务便利，违规收取费用、接受财物、牟取利益的；</w:t>
      </w:r>
    </w:p>
    <w:p w14:paraId="5B008CE5">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(八)一年度内累积3次电话通知故意不提供服务或不参加比选的；</w:t>
      </w:r>
    </w:p>
    <w:p w14:paraId="2BEE25C6">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(九)抽取现场答应参加比选后又无故反悔的；</w:t>
      </w:r>
    </w:p>
    <w:p w14:paraId="3B0CFD2C">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(十)一年度内累计2次不响应比选文件要求，导致投标无效的；</w:t>
      </w:r>
    </w:p>
    <w:p w14:paraId="7DF138B4">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(十一)年度综合考核评价为不合格档次的；</w:t>
      </w:r>
    </w:p>
    <w:p w14:paraId="549D1FF6">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(十二)违反回避制度，对应当回避的情形未认真清查和发现，或有意隐瞒和欺骗的。</w:t>
      </w:r>
    </w:p>
    <w:p w14:paraId="253E14F5">
      <w:pPr>
        <w:ind w:firstLine="640" w:firstLineChars="200"/>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凡清退的单位，三年内禁止入库。</w:t>
      </w:r>
    </w:p>
    <w:p w14:paraId="200106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A111B"/>
    <w:rsid w:val="18F53849"/>
    <w:rsid w:val="61DA1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600" w:lineRule="exact"/>
    </w:pPr>
    <w:rPr>
      <w:rFonts w:ascii="仿宋" w:hAnsi="仿宋" w:eastAsia="仿宋" w:cs="仿宋"/>
      <w:snapToGrid w:val="0"/>
      <w:color w:val="000000"/>
      <w:sz w:val="32"/>
      <w:szCs w:val="3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449</Words>
  <Characters>449</Characters>
  <Lines>0</Lines>
  <Paragraphs>0</Paragraphs>
  <TotalTime>0</TotalTime>
  <ScaleCrop>false</ScaleCrop>
  <LinksUpToDate>false</LinksUpToDate>
  <CharactersWithSpaces>449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2025-01-06T02:12:00Z</dcterms:created>
  <dc:creator>刘雨弦</dc:creator>
  <cp:lastModifiedBy>_盟</cp:lastModifiedBy>
  <dcterms:modified xsi:type="dcterms:W3CDTF">2025-01-06T10:05:28Z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C1B604A2F3AC4B0693F42E34685F0D84_13</vt:lpwstr>
  </property>
  <property fmtid="{D5CDD505-2E9C-101B-9397-08002B2CF9AE}" pid="4" name="KSOTemplateDocerSaveRecord">
    <vt:lpwstr>eyJoZGlkIjoiZTM4ZGNlM2IyNjJiNGY3NDllYjljMTJmNDQ4MTliNDciLCJ1c2VySWQiOiIyNjI5NTYyMTEifQ==</vt:lpwstr>
  </property>
</Properties>
</file>