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ind w:left="0" w:leftChars="0" w:firstLine="0" w:firstLineChars="0"/>
        <w:jc w:val="center"/>
        <w:rPr>
          <w:rFonts w:hint="eastAsia" w:ascii="方正小标宋_GBK" w:hAnsi="方正小标宋_GBK" w:eastAsia="方正小标宋_GBK" w:cs="方正小标宋_GBK"/>
          <w:bCs/>
          <w:kern w:val="2"/>
          <w:sz w:val="40"/>
          <w:szCs w:val="32"/>
        </w:rPr>
      </w:pPr>
      <w:bookmarkStart w:id="0" w:name="_GoBack"/>
      <w:bookmarkEnd w:id="0"/>
    </w:p>
    <w:p>
      <w:pPr>
        <w:pStyle w:val="11"/>
        <w:spacing w:line="360" w:lineRule="auto"/>
        <w:ind w:firstLine="0" w:firstLineChars="0"/>
        <w:jc w:val="center"/>
        <w:rPr>
          <w:rFonts w:cs="方正小标宋_GBK" w:asciiTheme="majorEastAsia" w:hAnsiTheme="majorEastAsia" w:eastAsiaTheme="majorEastAsia"/>
          <w:b/>
          <w:color w:val="auto"/>
          <w:sz w:val="40"/>
          <w:szCs w:val="32"/>
        </w:rPr>
      </w:pPr>
      <w:r>
        <w:rPr>
          <w:rFonts w:hint="eastAsia" w:cs="方正小标宋_GBK" w:asciiTheme="majorEastAsia" w:hAnsiTheme="majorEastAsia" w:eastAsiaTheme="majorEastAsia"/>
          <w:b/>
          <w:color w:val="auto"/>
          <w:sz w:val="40"/>
          <w:szCs w:val="32"/>
        </w:rPr>
        <w:t>衡阳建湘柴油机厂等5个老旧厂区改造项目</w:t>
      </w:r>
    </w:p>
    <w:p>
      <w:pPr>
        <w:pStyle w:val="11"/>
        <w:spacing w:line="360" w:lineRule="auto"/>
        <w:ind w:firstLine="0" w:firstLineChars="0"/>
        <w:jc w:val="center"/>
        <w:rPr>
          <w:rFonts w:hint="default" w:eastAsiaTheme="majorEastAsia"/>
          <w:color w:val="auto"/>
          <w:sz w:val="36"/>
          <w:szCs w:val="36"/>
          <w:lang w:val="en-US" w:eastAsia="zh-CN"/>
        </w:rPr>
      </w:pPr>
      <w:r>
        <w:rPr>
          <w:rFonts w:hint="eastAsia" w:cs="方正小标宋_GBK" w:asciiTheme="majorEastAsia" w:hAnsiTheme="majorEastAsia" w:eastAsiaTheme="majorEastAsia"/>
          <w:b/>
          <w:color w:val="auto"/>
          <w:sz w:val="40"/>
          <w:szCs w:val="32"/>
        </w:rPr>
        <w:t>可研编制</w:t>
      </w:r>
      <w:r>
        <w:rPr>
          <w:rFonts w:hint="eastAsia" w:cs="方正小标宋_GBK" w:asciiTheme="majorEastAsia" w:hAnsiTheme="majorEastAsia" w:eastAsiaTheme="majorEastAsia"/>
          <w:b/>
          <w:color w:val="auto"/>
          <w:sz w:val="40"/>
          <w:szCs w:val="32"/>
          <w:lang w:val="en-US" w:eastAsia="zh-CN"/>
        </w:rPr>
        <w:t>机构公开比选</w:t>
      </w:r>
    </w:p>
    <w:p>
      <w:pPr>
        <w:pStyle w:val="8"/>
        <w:spacing w:line="480" w:lineRule="exact"/>
        <w:ind w:left="0" w:leftChars="0"/>
        <w:jc w:val="center"/>
        <w:rPr>
          <w:rFonts w:ascii="华文中宋" w:hAnsi="华文中宋" w:eastAsia="华文中宋"/>
          <w:b/>
          <w:sz w:val="48"/>
          <w:szCs w:val="48"/>
        </w:rPr>
      </w:pPr>
    </w:p>
    <w:p>
      <w:pPr>
        <w:pStyle w:val="9"/>
      </w:pPr>
    </w:p>
    <w:p>
      <w:pPr>
        <w:pStyle w:val="8"/>
        <w:spacing w:line="480" w:lineRule="exact"/>
        <w:ind w:left="0" w:leftChars="0"/>
        <w:jc w:val="center"/>
        <w:rPr>
          <w:rFonts w:ascii="方正小标宋_GBK" w:hAnsi="方正小标宋_GBK" w:eastAsia="方正小标宋_GBK" w:cs="方正小标宋_GBK"/>
          <w:b/>
          <w:sz w:val="48"/>
          <w:szCs w:val="48"/>
        </w:rPr>
      </w:pPr>
    </w:p>
    <w:p>
      <w:pPr>
        <w:pStyle w:val="9"/>
      </w:pPr>
    </w:p>
    <w:p>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pPr>
        <w:pStyle w:val="11"/>
        <w:ind w:firstLine="964"/>
        <w:rPr>
          <w:rFonts w:ascii="方正小标宋_GBK" w:hAnsi="方正小标宋_GBK" w:eastAsia="方正小标宋_GBK" w:cs="方正小标宋_GBK"/>
          <w:b/>
          <w:color w:val="auto"/>
          <w:kern w:val="2"/>
          <w:sz w:val="48"/>
          <w:szCs w:val="48"/>
        </w:rPr>
      </w:pPr>
    </w:p>
    <w:p>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pPr>
        <w:pStyle w:val="11"/>
        <w:ind w:firstLine="964"/>
        <w:rPr>
          <w:rFonts w:ascii="方正小标宋_GBK" w:hAnsi="方正小标宋_GBK" w:eastAsia="方正小标宋_GBK" w:cs="方正小标宋_GBK"/>
          <w:b/>
          <w:color w:val="auto"/>
          <w:kern w:val="2"/>
          <w:sz w:val="48"/>
          <w:szCs w:val="48"/>
        </w:rPr>
      </w:pPr>
    </w:p>
    <w:p>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pPr>
        <w:pStyle w:val="11"/>
        <w:ind w:firstLine="964"/>
        <w:rPr>
          <w:rFonts w:ascii="方正小标宋_GBK" w:hAnsi="方正小标宋_GBK" w:eastAsia="方正小标宋_GBK" w:cs="方正小标宋_GBK"/>
          <w:b/>
          <w:color w:val="auto"/>
          <w:kern w:val="2"/>
          <w:sz w:val="48"/>
          <w:szCs w:val="48"/>
        </w:rPr>
      </w:pPr>
    </w:p>
    <w:p>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pPr>
        <w:pStyle w:val="8"/>
        <w:spacing w:line="480" w:lineRule="exact"/>
        <w:ind w:left="0" w:leftChars="0"/>
        <w:jc w:val="center"/>
        <w:rPr>
          <w:rFonts w:ascii="华文中宋" w:hAnsi="华文中宋" w:eastAsia="华文中宋"/>
          <w:b/>
          <w:sz w:val="52"/>
          <w:szCs w:val="52"/>
        </w:rPr>
      </w:pPr>
    </w:p>
    <w:p>
      <w:pPr>
        <w:pStyle w:val="11"/>
        <w:ind w:firstLine="0" w:firstLineChars="0"/>
      </w:pPr>
    </w:p>
    <w:p>
      <w:pPr>
        <w:pStyle w:val="8"/>
        <w:adjustRightInd w:val="0"/>
        <w:snapToGrid w:val="0"/>
        <w:spacing w:before="156" w:beforeLines="50" w:line="480" w:lineRule="exact"/>
        <w:ind w:left="0" w:leftChars="0"/>
        <w:rPr>
          <w:rFonts w:ascii="宋体" w:hAnsi="宋体" w:cs="宋体"/>
          <w:b/>
          <w:sz w:val="40"/>
          <w:szCs w:val="32"/>
        </w:rPr>
      </w:pPr>
    </w:p>
    <w:p>
      <w:pPr>
        <w:pStyle w:val="8"/>
        <w:adjustRightInd w:val="0"/>
        <w:snapToGrid w:val="0"/>
        <w:spacing w:line="480" w:lineRule="exact"/>
        <w:ind w:left="0" w:leftChars="0"/>
        <w:jc w:val="center"/>
        <w:rPr>
          <w:rFonts w:ascii="方正小标宋_GBK" w:hAnsi="方正小标宋_GBK" w:eastAsia="方正小标宋_GBK" w:cs="方正小标宋_GBK"/>
          <w:bCs/>
          <w:color w:val="FF0000"/>
          <w:sz w:val="40"/>
          <w:szCs w:val="32"/>
        </w:rPr>
      </w:pPr>
      <w:r>
        <w:rPr>
          <w:rFonts w:hint="eastAsia" w:cs="方正小标宋_GBK" w:asciiTheme="majorEastAsia" w:hAnsiTheme="majorEastAsia" w:eastAsiaTheme="majorEastAsia"/>
          <w:b/>
          <w:sz w:val="44"/>
          <w:szCs w:val="44"/>
        </w:rPr>
        <w:t>衡阳市国有资产投资控股集团有限公司</w:t>
      </w:r>
    </w:p>
    <w:p>
      <w:pPr>
        <w:pStyle w:val="8"/>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r>
        <w:rPr>
          <w:rFonts w:hint="eastAsia" w:ascii="方正小标宋_GBK" w:hAnsi="方正小标宋_GBK" w:eastAsia="方正小标宋_GBK" w:cs="方正小标宋_GBK"/>
          <w:bCs/>
          <w:sz w:val="40"/>
          <w:szCs w:val="32"/>
        </w:rPr>
        <w:t>二〇二</w:t>
      </w:r>
      <w:r>
        <w:rPr>
          <w:rFonts w:hint="eastAsia" w:ascii="宋体" w:hAnsi="宋体" w:cs="宋体"/>
          <w:bCs/>
          <w:sz w:val="40"/>
          <w:szCs w:val="32"/>
        </w:rPr>
        <w:t>五</w:t>
      </w:r>
      <w:r>
        <w:rPr>
          <w:rFonts w:hint="eastAsia" w:ascii="方正小标宋_GBK" w:hAnsi="方正小标宋_GBK" w:eastAsia="方正小标宋_GBK" w:cs="方正小标宋_GBK"/>
          <w:bCs/>
          <w:sz w:val="40"/>
          <w:szCs w:val="32"/>
        </w:rPr>
        <w:t>年三月</w:t>
      </w:r>
    </w:p>
    <w:p>
      <w:pPr>
        <w:pStyle w:val="10"/>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6</w:t>
      </w:r>
    </w:p>
    <w:p>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11</w:t>
      </w:r>
    </w:p>
    <w:p>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评标办法（综合评分法）</w:t>
      </w:r>
      <w:r>
        <w:rPr>
          <w:rFonts w:hint="eastAsia" w:ascii="宋体" w:hAnsi="宋体"/>
          <w:spacing w:val="10"/>
          <w:sz w:val="24"/>
        </w:rPr>
        <w:tab/>
      </w:r>
      <w:r>
        <w:rPr>
          <w:rFonts w:hint="eastAsia" w:ascii="宋体" w:hAnsi="宋体"/>
          <w:b/>
          <w:bCs/>
          <w:spacing w:val="10"/>
          <w:sz w:val="24"/>
        </w:rPr>
        <w:t>19</w:t>
      </w:r>
    </w:p>
    <w:p>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第五章  比选人要求</w:t>
      </w:r>
      <w:r>
        <w:rPr>
          <w:rFonts w:hint="eastAsia" w:ascii="宋体" w:hAnsi="宋体"/>
          <w:spacing w:val="10"/>
          <w:sz w:val="24"/>
        </w:rPr>
        <w:tab/>
      </w:r>
      <w:r>
        <w:rPr>
          <w:rFonts w:hint="eastAsia" w:ascii="宋体" w:hAnsi="宋体"/>
          <w:b/>
          <w:bCs/>
          <w:spacing w:val="10"/>
          <w:sz w:val="24"/>
        </w:rPr>
        <w:t>22</w:t>
      </w:r>
    </w:p>
    <w:p>
      <w:pPr>
        <w:tabs>
          <w:tab w:val="left" w:leader="middleDot" w:pos="0"/>
          <w:tab w:val="right" w:leader="dot" w:pos="8820"/>
        </w:tabs>
        <w:adjustRightInd w:val="0"/>
        <w:snapToGrid w:val="0"/>
        <w:spacing w:line="480" w:lineRule="exact"/>
        <w:jc w:val="center"/>
        <w:rPr>
          <w:rFonts w:ascii="宋体" w:hAnsi="宋体"/>
          <w:b/>
          <w:bCs/>
          <w:color w:val="FF0000"/>
          <w:spacing w:val="10"/>
          <w:sz w:val="24"/>
        </w:rPr>
      </w:pPr>
    </w:p>
    <w:p>
      <w:pPr>
        <w:tabs>
          <w:tab w:val="left" w:leader="middleDot" w:pos="0"/>
          <w:tab w:val="right" w:leader="dot" w:pos="8820"/>
        </w:tabs>
        <w:adjustRightInd w:val="0"/>
        <w:snapToGrid w:val="0"/>
        <w:spacing w:line="480" w:lineRule="exact"/>
        <w:jc w:val="center"/>
        <w:rPr>
          <w:rFonts w:ascii="宋体" w:hAnsi="宋体"/>
          <w:b/>
          <w:bCs/>
          <w:spacing w:val="10"/>
          <w:sz w:val="24"/>
        </w:rPr>
      </w:pPr>
    </w:p>
    <w:p>
      <w:pPr>
        <w:pStyle w:val="16"/>
        <w:spacing w:line="480" w:lineRule="exact"/>
        <w:rPr>
          <w:rFonts w:ascii="宋体" w:hAnsi="宋体"/>
          <w:b/>
          <w:bCs/>
          <w:kern w:val="0"/>
          <w:sz w:val="28"/>
          <w:szCs w:val="28"/>
        </w:rPr>
      </w:pPr>
    </w:p>
    <w:p>
      <w:pPr>
        <w:spacing w:line="480" w:lineRule="exact"/>
        <w:rPr>
          <w:rFonts w:ascii="宋体" w:hAnsi="宋体"/>
          <w:b/>
          <w:bCs/>
          <w:kern w:val="0"/>
          <w:sz w:val="28"/>
          <w:szCs w:val="28"/>
        </w:rPr>
      </w:pPr>
    </w:p>
    <w:p>
      <w:pPr>
        <w:pStyle w:val="7"/>
        <w:spacing w:line="480" w:lineRule="exact"/>
        <w:rPr>
          <w:rFonts w:ascii="宋体" w:hAnsi="宋体"/>
          <w:b/>
          <w:bCs/>
          <w:kern w:val="0"/>
          <w:sz w:val="28"/>
          <w:szCs w:val="28"/>
        </w:rPr>
      </w:pPr>
    </w:p>
    <w:p>
      <w:pPr>
        <w:pStyle w:val="16"/>
        <w:spacing w:line="480" w:lineRule="exact"/>
        <w:rPr>
          <w:rFonts w:ascii="宋体" w:hAnsi="宋体"/>
          <w:b/>
          <w:bCs/>
          <w:kern w:val="0"/>
          <w:sz w:val="28"/>
          <w:szCs w:val="28"/>
        </w:rPr>
      </w:pPr>
    </w:p>
    <w:p>
      <w:pPr>
        <w:spacing w:line="480" w:lineRule="exact"/>
        <w:rPr>
          <w:rFonts w:ascii="宋体" w:hAnsi="宋体"/>
          <w:b/>
          <w:bCs/>
          <w:kern w:val="0"/>
          <w:sz w:val="28"/>
          <w:szCs w:val="28"/>
        </w:rPr>
      </w:pPr>
    </w:p>
    <w:p>
      <w:pPr>
        <w:pStyle w:val="7"/>
        <w:spacing w:line="480" w:lineRule="exact"/>
        <w:rPr>
          <w:rFonts w:ascii="宋体" w:hAnsi="宋体"/>
          <w:b/>
          <w:bCs/>
          <w:kern w:val="0"/>
          <w:sz w:val="28"/>
          <w:szCs w:val="28"/>
        </w:rPr>
      </w:pPr>
    </w:p>
    <w:p>
      <w:pPr>
        <w:pStyle w:val="16"/>
        <w:spacing w:line="480" w:lineRule="exact"/>
        <w:rPr>
          <w:rFonts w:ascii="宋体" w:hAnsi="宋体"/>
          <w:b/>
          <w:bCs/>
          <w:kern w:val="0"/>
          <w:sz w:val="28"/>
          <w:szCs w:val="28"/>
        </w:rPr>
      </w:pPr>
    </w:p>
    <w:p>
      <w:pPr>
        <w:spacing w:line="480" w:lineRule="exact"/>
        <w:rPr>
          <w:rFonts w:ascii="宋体" w:hAnsi="宋体"/>
          <w:b/>
          <w:bCs/>
          <w:kern w:val="0"/>
          <w:sz w:val="28"/>
          <w:szCs w:val="28"/>
        </w:rPr>
      </w:pPr>
    </w:p>
    <w:p>
      <w:pPr>
        <w:pStyle w:val="7"/>
        <w:spacing w:line="480" w:lineRule="exact"/>
        <w:rPr>
          <w:rFonts w:ascii="宋体" w:hAnsi="宋体"/>
          <w:b/>
          <w:bCs/>
          <w:kern w:val="0"/>
          <w:sz w:val="28"/>
          <w:szCs w:val="28"/>
        </w:rPr>
      </w:pPr>
    </w:p>
    <w:p>
      <w:pPr>
        <w:pStyle w:val="16"/>
        <w:spacing w:line="480" w:lineRule="exact"/>
        <w:rPr>
          <w:rFonts w:ascii="宋体" w:hAnsi="宋体"/>
          <w:b/>
          <w:bCs/>
          <w:kern w:val="0"/>
          <w:sz w:val="28"/>
          <w:szCs w:val="28"/>
        </w:rPr>
      </w:pPr>
    </w:p>
    <w:p>
      <w:pPr>
        <w:spacing w:line="480" w:lineRule="exact"/>
        <w:rPr>
          <w:rFonts w:ascii="宋体" w:hAnsi="宋体"/>
          <w:b/>
          <w:bCs/>
          <w:kern w:val="0"/>
          <w:sz w:val="28"/>
          <w:szCs w:val="28"/>
        </w:rPr>
      </w:pPr>
    </w:p>
    <w:p>
      <w:pPr>
        <w:pStyle w:val="7"/>
        <w:spacing w:line="480" w:lineRule="exact"/>
        <w:rPr>
          <w:rFonts w:ascii="宋体" w:hAnsi="宋体"/>
          <w:b/>
          <w:bCs/>
          <w:kern w:val="0"/>
          <w:sz w:val="28"/>
          <w:szCs w:val="28"/>
        </w:rPr>
      </w:pPr>
    </w:p>
    <w:p>
      <w:pPr>
        <w:spacing w:line="480" w:lineRule="exact"/>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rPr>
          <w:rFonts w:ascii="黑体" w:hAnsi="黑体" w:eastAsia="黑体" w:cs="黑体"/>
          <w:b/>
          <w:bCs/>
          <w:sz w:val="36"/>
          <w:szCs w:val="36"/>
          <w:shd w:val="clear" w:color="auto" w:fill="FFFFFF"/>
        </w:rPr>
        <w:sectPr>
          <w:headerReference r:id="rId7" w:type="default"/>
          <w:footerReference r:id="rId8"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第一章  比选公告</w:t>
      </w:r>
    </w:p>
    <w:p>
      <w:pPr>
        <w:adjustRightInd w:val="0"/>
        <w:snapToGrid w:val="0"/>
        <w:spacing w:line="560" w:lineRule="exact"/>
        <w:jc w:val="center"/>
        <w:rPr>
          <w:rFonts w:ascii="Calibri" w:hAnsi="Calibri" w:eastAsia="微软雅黑"/>
          <w:bCs/>
          <w:kern w:val="44"/>
          <w:sz w:val="44"/>
          <w:szCs w:val="44"/>
        </w:rPr>
      </w:pPr>
    </w:p>
    <w:p>
      <w:pPr>
        <w:adjustRightInd w:val="0"/>
        <w:snapToGrid w:val="0"/>
        <w:spacing w:line="560" w:lineRule="exact"/>
        <w:ind w:firstLine="643" w:firstLineChars="200"/>
        <w:jc w:val="left"/>
        <w:rPr>
          <w:rStyle w:val="19"/>
          <w:rFonts w:ascii="黑体" w:hAnsi="黑体" w:eastAsia="黑体" w:cs="黑体"/>
          <w:sz w:val="32"/>
          <w:szCs w:val="32"/>
          <w:shd w:val="clear" w:color="auto" w:fill="FFFFFF"/>
        </w:rPr>
      </w:pPr>
      <w:r>
        <w:rPr>
          <w:rStyle w:val="19"/>
          <w:rFonts w:hint="eastAsia" w:ascii="黑体" w:hAnsi="黑体" w:eastAsia="黑体" w:cs="黑体"/>
          <w:sz w:val="32"/>
          <w:szCs w:val="32"/>
          <w:shd w:val="clear" w:color="auto" w:fill="FFFFFF"/>
        </w:rPr>
        <w:t>一、项目概况与服务范围</w:t>
      </w:r>
    </w:p>
    <w:p>
      <w:pPr>
        <w:adjustRightInd w:val="0"/>
        <w:snapToGrid w:val="0"/>
        <w:spacing w:line="56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1.项目名称：衡阳建湘柴油机厂等5个老旧厂区改造项目可研编制</w:t>
      </w:r>
      <w:r>
        <w:rPr>
          <w:rFonts w:hint="eastAsia" w:ascii="仿宋" w:hAnsi="仿宋" w:eastAsia="仿宋" w:cs="仿宋"/>
          <w:sz w:val="28"/>
          <w:szCs w:val="28"/>
          <w:lang w:val="en-US" w:eastAsia="zh-CN"/>
        </w:rPr>
        <w:t>机构公开比选</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2.项目地点：实施范围涉及建湘柴油机厂等衡阳建湘柴油机厂等5个老旧厂区</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1、衡阳建湘柴油机厂老旧厂区改造及配套基础设施和公共服务建设项目。</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项目实施范围涉及建湘柴油机厂、衡阳粉丝厂，建设内容包括：1.配套道路（建湘北门-财工院）18900㎡；2.建湘柴油机厂内墙翻修80000㎡，外墙翻修26000㎡，地面改造25000㎡，屋面防水35000㎡，水电改造8000m2，内部道路25000㎡，消防管网3000m，排水管网1500m，供水管网1800m，养老服务设施1500㎡；3.粉丝厂危房加固1000㎡，内墙翻修2500㎡，外墙翻修2500㎡，地面改造1000㎡，屋面防水1000㎡，水电改造1000m2，内部道路1500m2，停车场6000㎡，消防管网2600m，消防水池及设施4套，应急电源1套，电力杆线下地6600m，排水管网4200m，供水管网5400m，监控安防3套，体育健身场11700㎡。</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投资规模：15359.8万元。</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2、衡阳拖拉机厂老旧厂区改造及配套基础设施和公共服务建设项目</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项目实施范围涉及衡阳拖拉机厂，建设内容包括：厂房改造102431㎡、配套道路32551㎡、停车位64个、电力杆线下地2488m、污水管4976m、消防水管5971m、消防水池及设施2套、监控安防1套、室内篮球场1231㎡、文化设施9015㎡、社区服务中心800㎡、养老服务设施175.2㎡、托幼服务设施3459㎡、充电桩12套。</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投资规模：19080.85 万元。</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3、衡阳木材厂老旧厂区改造及配套基础设施和公共服务建设项目</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项目实施范围涉及衡阳木材厂、衡阳市白水泥厂，建设内容包括：危房加固5000㎡，内墙翻修30000㎡，外墙翻修30000㎡，地面改造12000㎡，屋面防水19000㎡，水电改造11000m2，配套道路23800㎡、地面水泥硬化3600㎡、停车场12480㎡、充电桩28个、消防管网5600m、消防水池及设施4套、自备应急电源（含配电房）2套、电力杆线下地4600m、排水管网5000m、供水管网5000m、监控安防2套、体育健身场1600㎡、医务室180㎡</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投资规模：8405.00 万元。</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4、衡阳市砂轮厂老旧厂区改造及配套基础设施和公共服务建设项目</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项目实施范围涉及衡阳砂轮厂、衡阳市第二塑料厂、衡阳市光学仪器厂，建设内容包括：1、衡阳市第二塑料厂危房加固800㎡、厂房装修1000㎡、外墙翻新200㎡、屋顶防水1000㎡、配套道路2500㎡、给水管1000m、排水管1000m、充电桩1套。2、光学仪器厂厂房改造17001㎡、道路硬化2460㎡、道路油化17914㎡、给水管370m、排水管267m、充电桩5套、停车场2100㎡、电力杆线下地1750㎡、消防水池及设施1套、消防栓5套、微型消防站1套、自备应急电源（含配电房）1套、照明灯具增加或更换140套、监控安防2套、体育健身场600㎡、文化设施4085㎡、围墙改造114m。3、衡阳砂轮厂厂房改造21220㎡、配套道路20400㎡、道路硬化4130㎡、道路油化13118㎡、给水管392m、排水管320m、充电桩4套、停车场1100㎡、电力杆线下地2200㎡、消防水池及设施1套、消防栓5套、微型消防站1套、自备应急电源（含配电房）1套、照明灯具增加或更换175套、监控安防2套、体育健身场600㎡、文化设施226㎡、围墙改造336m。</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投资规模：13666.15 万元。</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5、衡阳市毛纺织厂老旧厂区改造及配套基础设施和公共服务建设项目</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项目实施范围涉及衡阳市毛纺织厂，建设内容包括：厂房改造12000㎡，配套道路47500㎡、停车场400㎡、充电桩10个、消防管网1685m、消防水池及设施1套、自备应急电源（含配电房）1套、电力杆线下地1000m、排水管网1525m、供水管网1680m、监控安防2套。</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投资规模：6658.00万元</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4.服务期限：项目完成业主单位取得相关政策资金后为止</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5.服务范围：对衡阳建湘柴油机厂等5个老旧厂区改造项目编制可行性研究报告（含前期方案设计）</w:t>
      </w:r>
    </w:p>
    <w:p>
      <w:pPr>
        <w:adjustRightInd w:val="0"/>
        <w:snapToGrid w:val="0"/>
        <w:spacing w:line="560" w:lineRule="exact"/>
        <w:ind w:firstLine="643" w:firstLineChars="200"/>
        <w:jc w:val="left"/>
        <w:rPr>
          <w:rStyle w:val="19"/>
          <w:rFonts w:ascii="黑体" w:hAnsi="黑体" w:eastAsia="黑体" w:cs="黑体"/>
          <w:sz w:val="32"/>
          <w:szCs w:val="32"/>
          <w:shd w:val="clear" w:color="auto" w:fill="FFFFFF"/>
        </w:rPr>
      </w:pPr>
      <w:r>
        <w:rPr>
          <w:rStyle w:val="19"/>
          <w:rFonts w:hint="eastAsia" w:ascii="黑体" w:hAnsi="黑体" w:eastAsia="黑体" w:cs="黑体"/>
          <w:sz w:val="32"/>
          <w:szCs w:val="32"/>
          <w:shd w:val="clear" w:color="auto" w:fill="FFFFFF"/>
        </w:rPr>
        <w:t>二、最高投标限价</w:t>
      </w:r>
    </w:p>
    <w:p>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本项目最高投标限价为48.69万元。</w:t>
      </w:r>
    </w:p>
    <w:p>
      <w:pPr>
        <w:adjustRightInd w:val="0"/>
        <w:snapToGrid w:val="0"/>
        <w:spacing w:line="560" w:lineRule="exact"/>
        <w:ind w:firstLine="643" w:firstLineChars="200"/>
        <w:jc w:val="left"/>
        <w:rPr>
          <w:rStyle w:val="19"/>
          <w:rFonts w:ascii="黑体" w:hAnsi="黑体" w:eastAsia="黑体" w:cs="黑体"/>
          <w:sz w:val="32"/>
          <w:szCs w:val="32"/>
          <w:shd w:val="clear" w:color="auto" w:fill="FFFFFF"/>
        </w:rPr>
      </w:pPr>
      <w:r>
        <w:rPr>
          <w:rStyle w:val="19"/>
          <w:rFonts w:hint="eastAsia" w:ascii="黑体" w:hAnsi="黑体" w:eastAsia="黑体" w:cs="黑体"/>
          <w:sz w:val="32"/>
          <w:szCs w:val="32"/>
          <w:shd w:val="clear" w:color="auto" w:fill="FFFFFF"/>
        </w:rPr>
        <w:t>三、资格要求</w:t>
      </w:r>
    </w:p>
    <w:p>
      <w:pPr>
        <w:adjustRightInd w:val="0"/>
        <w:snapToGrid w:val="0"/>
        <w:spacing w:line="560" w:lineRule="exact"/>
        <w:ind w:left="559" w:leftChars="266"/>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1.具有独立法人资格并依法取得营业执照，营业执照处于有效期。2.资质要求：具备</w:t>
      </w:r>
      <w:r>
        <w:rPr>
          <w:rFonts w:hint="eastAsia" w:ascii="仿宋" w:hAnsi="仿宋" w:eastAsia="仿宋" w:cs="仿宋"/>
          <w:sz w:val="28"/>
          <w:szCs w:val="28"/>
          <w:u w:val="single"/>
        </w:rPr>
        <w:t>/</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w:t>
      </w:r>
      <w:r>
        <w:rPr>
          <w:rFonts w:hint="eastAsia" w:ascii="仿宋" w:hAnsi="仿宋" w:eastAsia="仿宋" w:cs="仿宋"/>
          <w:color w:val="FF0000"/>
          <w:sz w:val="28"/>
          <w:szCs w:val="28"/>
          <w:u w:val="single"/>
        </w:rPr>
        <w:t>/</w:t>
      </w:r>
      <w:r>
        <w:rPr>
          <w:rFonts w:hint="eastAsia" w:ascii="仿宋" w:hAnsi="仿宋" w:eastAsia="仿宋" w:cs="仿宋"/>
          <w:sz w:val="28"/>
          <w:szCs w:val="28"/>
        </w:rPr>
        <w:t>以上资质，资质证书处于有效期。</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2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2025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2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1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独立完成的单项合同金额3万元以上</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pPr>
        <w:adjustRightInd w:val="0"/>
        <w:snapToGrid w:val="0"/>
        <w:spacing w:line="560" w:lineRule="exact"/>
        <w:ind w:firstLine="560" w:firstLineChars="200"/>
        <w:jc w:val="left"/>
        <w:rPr>
          <w:rFonts w:ascii="仿宋" w:hAnsi="仿宋" w:eastAsia="仿宋" w:cs="仿宋"/>
          <w:spacing w:val="15"/>
          <w:kern w:val="0"/>
          <w:sz w:val="28"/>
          <w:szCs w:val="28"/>
          <w:u w:val="single"/>
        </w:rPr>
      </w:pPr>
      <w:r>
        <w:rPr>
          <w:rFonts w:hint="eastAsia" w:ascii="仿宋" w:hAnsi="仿宋" w:eastAsia="仿宋" w:cs="仿宋"/>
          <w:sz w:val="28"/>
          <w:szCs w:val="28"/>
        </w:rPr>
        <w:t>类似项目业绩是指:</w:t>
      </w:r>
      <w:r>
        <w:rPr>
          <w:rFonts w:hint="eastAsia" w:ascii="仿宋" w:hAnsi="仿宋" w:eastAsia="仿宋" w:cs="仿宋"/>
          <w:spacing w:val="15"/>
          <w:kern w:val="0"/>
          <w:sz w:val="28"/>
          <w:szCs w:val="28"/>
          <w:u w:val="single"/>
        </w:rPr>
        <w:t>棚户区改造或老旧小区提质改造或城中村改造的建设项目的可研服务项目。</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咨询工程师(投资)职业资格证书 </w:t>
      </w:r>
      <w:r>
        <w:rPr>
          <w:rFonts w:hint="eastAsia" w:ascii="仿宋" w:hAnsi="仿宋" w:eastAsia="仿宋" w:cs="仿宋"/>
          <w:sz w:val="28"/>
          <w:szCs w:val="28"/>
        </w:rPr>
        <w:t>，且为本单位在职员工，并提供劳动和社会保障部门出具的投标截止时间前近半年连续6个月（</w:t>
      </w:r>
      <w:r>
        <w:rPr>
          <w:rFonts w:hint="eastAsia" w:ascii="仿宋" w:hAnsi="仿宋" w:eastAsia="仿宋" w:cs="仿宋"/>
          <w:sz w:val="28"/>
          <w:szCs w:val="28"/>
          <w:u w:val="single"/>
        </w:rPr>
        <w:t xml:space="preserve"> 2024 年 9 月至 2025 年 2 月）</w:t>
      </w:r>
      <w:r>
        <w:rPr>
          <w:rFonts w:hint="eastAsia" w:ascii="仿宋" w:hAnsi="仿宋" w:eastAsia="仿宋" w:cs="仿宋"/>
          <w:sz w:val="28"/>
          <w:szCs w:val="28"/>
        </w:rPr>
        <w:t>的社保证明。</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咨询单位需在全国投资项目在线审批监管平台备案 </w:t>
      </w:r>
      <w:r>
        <w:rPr>
          <w:rFonts w:hint="eastAsia" w:ascii="仿宋" w:hAnsi="仿宋" w:eastAsia="仿宋" w:cs="仿宋"/>
          <w:sz w:val="28"/>
          <w:szCs w:val="28"/>
        </w:rPr>
        <w:t>。</w:t>
      </w:r>
    </w:p>
    <w:p>
      <w:pPr>
        <w:pStyle w:val="7"/>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10000  </w:t>
      </w:r>
      <w:r>
        <w:rPr>
          <w:rFonts w:hint="eastAsia" w:ascii="仿宋" w:hAnsi="仿宋" w:eastAsia="仿宋" w:cs="仿宋"/>
          <w:sz w:val="28"/>
          <w:szCs w:val="28"/>
        </w:rPr>
        <w:t>元，</w:t>
      </w:r>
      <w:r>
        <w:rPr>
          <w:rFonts w:hint="eastAsia" w:ascii="仿宋" w:hAnsi="仿宋" w:eastAsia="仿宋"/>
          <w:sz w:val="28"/>
          <w:szCs w:val="28"/>
        </w:rPr>
        <w:t>采用</w:t>
      </w:r>
      <w:r>
        <w:rPr>
          <w:rFonts w:hint="eastAsia" w:ascii="仿宋" w:hAnsi="仿宋" w:eastAsia="仿宋" w:cs="仿宋"/>
          <w:sz w:val="28"/>
          <w:szCs w:val="28"/>
        </w:rPr>
        <w:t>银行保函或担保公司保函</w:t>
      </w:r>
      <w:r>
        <w:rPr>
          <w:rFonts w:hint="eastAsia" w:ascii="仿宋" w:hAnsi="仿宋" w:eastAsia="仿宋"/>
          <w:sz w:val="28"/>
          <w:szCs w:val="28"/>
        </w:rPr>
        <w:t>形式</w:t>
      </w:r>
      <w:r>
        <w:rPr>
          <w:rFonts w:hint="eastAsia" w:ascii="仿宋" w:hAnsi="仿宋" w:eastAsia="仿宋" w:cs="仿宋"/>
          <w:sz w:val="28"/>
          <w:szCs w:val="28"/>
        </w:rPr>
        <w:t>。</w:t>
      </w:r>
    </w:p>
    <w:p>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w:t>
      </w:r>
      <w:r>
        <w:rPr>
          <w:rFonts w:hint="eastAsia" w:ascii="仿宋" w:hAnsi="仿宋" w:eastAsia="仿宋" w:cs="仿宋"/>
          <w:sz w:val="28"/>
          <w:szCs w:val="28"/>
          <w:lang w:val="en-US" w:eastAsia="zh-CN"/>
        </w:rPr>
        <w:t>集团</w:t>
      </w:r>
      <w:r>
        <w:rPr>
          <w:rFonts w:hint="eastAsia" w:ascii="仿宋" w:hAnsi="仿宋" w:eastAsia="仿宋" w:cs="仿宋"/>
          <w:sz w:val="28"/>
          <w:szCs w:val="28"/>
        </w:rPr>
        <w:t>有限公司官方网站（www.hxamc.com）上下载比选文件，并按照比选文件要求参与比选。</w:t>
      </w:r>
    </w:p>
    <w:p>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4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10</w:t>
      </w:r>
      <w:r>
        <w:rPr>
          <w:rFonts w:hint="eastAsia" w:ascii="仿宋" w:hAnsi="仿宋" w:eastAsia="仿宋" w:cs="仿宋"/>
          <w:sz w:val="28"/>
          <w:szCs w:val="28"/>
          <w:u w:val="single"/>
        </w:rPr>
        <w:t xml:space="preserve"> </w:t>
      </w:r>
      <w:r>
        <w:rPr>
          <w:rFonts w:hint="eastAsia" w:ascii="仿宋" w:hAnsi="仿宋" w:eastAsia="仿宋" w:cs="仿宋"/>
          <w:sz w:val="28"/>
          <w:szCs w:val="28"/>
        </w:rPr>
        <w:t>日下午15:00分在衡阳市国有资产投资控股集团有限公司4栋3楼评标室开标，如有变动将提前一天通知各参选单位。</w:t>
      </w:r>
    </w:p>
    <w:p>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函的，取消其参选资格；身份验证和投标保证函核查通过的参选单位按要求填写参选文件接收登记表。</w:t>
      </w:r>
    </w:p>
    <w:p>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w:t>
      </w:r>
      <w:r>
        <w:rPr>
          <w:rFonts w:hint="eastAsia" w:ascii="仿宋" w:hAnsi="仿宋" w:eastAsia="仿宋" w:cs="仿宋"/>
          <w:sz w:val="28"/>
          <w:szCs w:val="28"/>
          <w:lang w:val="en-US" w:eastAsia="zh-CN"/>
        </w:rPr>
        <w:t>集团</w:t>
      </w:r>
      <w:r>
        <w:rPr>
          <w:rFonts w:hint="eastAsia" w:ascii="仿宋" w:hAnsi="仿宋" w:eastAsia="仿宋" w:cs="仿宋"/>
          <w:sz w:val="28"/>
          <w:szCs w:val="28"/>
        </w:rPr>
        <w:t>有限公司官方网站（www.hxamc.com）上发布。</w:t>
      </w:r>
    </w:p>
    <w:p>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人：衡阳市国有资产投资控股</w:t>
      </w:r>
      <w:r>
        <w:rPr>
          <w:rFonts w:hint="eastAsia" w:ascii="仿宋" w:hAnsi="仿宋" w:eastAsia="仿宋" w:cs="仿宋"/>
          <w:sz w:val="28"/>
          <w:szCs w:val="28"/>
          <w:lang w:val="en-US" w:eastAsia="zh-CN"/>
        </w:rPr>
        <w:t>集团</w:t>
      </w:r>
      <w:r>
        <w:rPr>
          <w:rFonts w:hint="eastAsia" w:ascii="仿宋" w:hAnsi="仿宋" w:eastAsia="仿宋" w:cs="仿宋"/>
          <w:sz w:val="28"/>
          <w:szCs w:val="28"/>
        </w:rPr>
        <w:t>有限公司</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址：衡阳市高新产业技术开发区（西二环）11号1栋3楼313室</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人：王先生</w:t>
      </w:r>
    </w:p>
    <w:p>
      <w:pPr>
        <w:adjustRightInd w:val="0"/>
        <w:snapToGrid w:val="0"/>
        <w:spacing w:line="560" w:lineRule="exact"/>
        <w:ind w:firstLine="560" w:firstLineChars="200"/>
        <w:jc w:val="left"/>
        <w:rPr>
          <w:rFonts w:ascii="仿宋" w:hAnsi="仿宋" w:eastAsia="仿宋"/>
          <w:color w:val="FF0000"/>
          <w:sz w:val="28"/>
          <w:szCs w:val="28"/>
        </w:rPr>
      </w:pPr>
      <w:r>
        <w:rPr>
          <w:rFonts w:hint="eastAsia" w:ascii="仿宋" w:hAnsi="仿宋" w:eastAsia="仿宋" w:cs="仿宋"/>
          <w:sz w:val="28"/>
          <w:szCs w:val="28"/>
        </w:rPr>
        <w:t>电    话：0734-8828282</w:t>
      </w:r>
    </w:p>
    <w:p>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pPr>
        <w:pStyle w:val="7"/>
      </w:pPr>
    </w:p>
    <w:p>
      <w:pPr>
        <w:rPr>
          <w:rFonts w:ascii="Calibri" w:hAnsi="Calibri" w:eastAsia="微软雅黑"/>
          <w:bCs/>
          <w:kern w:val="44"/>
          <w:sz w:val="44"/>
          <w:szCs w:val="44"/>
        </w:rPr>
      </w:pPr>
      <w:r>
        <w:rPr>
          <w:rFonts w:hint="eastAsia" w:ascii="Calibri" w:hAnsi="Calibri" w:eastAsia="微软雅黑"/>
          <w:bCs/>
          <w:kern w:val="44"/>
          <w:sz w:val="44"/>
          <w:szCs w:val="44"/>
        </w:rPr>
        <w:br w:type="page"/>
      </w:r>
    </w:p>
    <w:p>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第二章 参选人须知</w:t>
      </w:r>
    </w:p>
    <w:p>
      <w:pPr>
        <w:adjustRightInd w:val="0"/>
        <w:snapToGrid w:val="0"/>
        <w:spacing w:line="560" w:lineRule="exact"/>
        <w:jc w:val="left"/>
        <w:rPr>
          <w:rFonts w:ascii="黑体" w:hAnsi="黑体" w:eastAsia="黑体" w:cs="黑体"/>
          <w:b/>
          <w:bCs/>
          <w:kern w:val="0"/>
          <w:sz w:val="32"/>
          <w:szCs w:val="32"/>
        </w:rPr>
      </w:pPr>
    </w:p>
    <w:p>
      <w:pPr>
        <w:rPr>
          <w:rFonts w:ascii="黑体" w:hAnsi="黑体" w:eastAsia="黑体" w:cs="黑体"/>
          <w:sz w:val="32"/>
          <w:szCs w:val="32"/>
        </w:rPr>
      </w:pPr>
      <w:r>
        <w:rPr>
          <w:rFonts w:hint="eastAsia" w:ascii="黑体" w:hAnsi="黑体" w:eastAsia="黑体" w:cs="黑体"/>
          <w:sz w:val="32"/>
          <w:szCs w:val="32"/>
        </w:rPr>
        <w:t>参选人须知前附表</w:t>
      </w:r>
    </w:p>
    <w:tbl>
      <w:tblPr>
        <w:tblStyle w:val="20"/>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Layout w:type="fixed"/>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tblPrEx>
          <w:tblLayout w:type="fixed"/>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cs="仿宋"/>
                <w:kern w:val="0"/>
                <w:sz w:val="24"/>
              </w:rPr>
            </w:pPr>
            <w:r>
              <w:rPr>
                <w:rFonts w:hint="eastAsia" w:ascii="仿宋" w:hAnsi="仿宋" w:eastAsia="仿宋" w:cs="仿宋"/>
                <w:kern w:val="0"/>
                <w:sz w:val="24"/>
              </w:rPr>
              <w:t>业   主：衡阳市国有资产投资控股有限公司</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址：衡阳市高新产业技术开发区（西二环）11号1栋3楼313室</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联 系 人：王先生</w:t>
            </w:r>
          </w:p>
          <w:p>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话：0734-8828282</w:t>
            </w:r>
          </w:p>
        </w:tc>
      </w:tr>
      <w:tr>
        <w:tblPrEx>
          <w:tblLayout w:type="fixed"/>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default" w:ascii="仿宋" w:hAnsi="仿宋" w:eastAsia="仿宋" w:cs="仿宋"/>
                <w:spacing w:val="15"/>
                <w:kern w:val="0"/>
                <w:sz w:val="24"/>
                <w:lang w:val="en-US" w:eastAsia="zh-CN"/>
              </w:rPr>
            </w:pPr>
            <w:r>
              <w:rPr>
                <w:rFonts w:hint="eastAsia" w:ascii="仿宋" w:hAnsi="仿宋" w:eastAsia="仿宋" w:cs="仿宋"/>
                <w:kern w:val="0"/>
                <w:sz w:val="22"/>
                <w:szCs w:val="22"/>
              </w:rPr>
              <w:t>衡阳建湘柴油机厂等5个老旧厂区改造项目可研编制</w:t>
            </w:r>
            <w:r>
              <w:rPr>
                <w:rFonts w:hint="eastAsia" w:ascii="仿宋" w:hAnsi="仿宋" w:eastAsia="仿宋" w:cs="仿宋"/>
                <w:kern w:val="0"/>
                <w:sz w:val="22"/>
                <w:szCs w:val="22"/>
                <w:lang w:val="en-US" w:eastAsia="zh-CN"/>
              </w:rPr>
              <w:t>机构公开比选</w:t>
            </w:r>
          </w:p>
        </w:tc>
      </w:tr>
      <w:tr>
        <w:tblPrEx>
          <w:tblLayout w:type="fixed"/>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cs="仿宋"/>
                <w:kern w:val="0"/>
                <w:sz w:val="24"/>
              </w:rPr>
            </w:pPr>
            <w:r>
              <w:rPr>
                <w:rFonts w:hint="eastAsia" w:ascii="仿宋" w:hAnsi="仿宋" w:eastAsia="仿宋" w:cs="仿宋"/>
                <w:kern w:val="0"/>
                <w:sz w:val="24"/>
              </w:rPr>
              <w:t>1、衡阳建湘柴油机厂老旧厂区改造及配套基础设施和公共服务建设项目。</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项目实施范围涉及建湘柴油机厂、衡阳粉丝厂，建设内容包括：1.配套道路（建湘北门-财工院）18900㎡；2.建湘柴油机厂内墙翻修80000㎡，外墙翻修26000㎡，地面改造25000㎡，屋面防水35000㎡，水电改造8000m2，内部道路25000㎡，消防管网3000m，排水管网1500m，供水管网1800m，养老服务设施1500㎡；3.粉丝厂危房加固1000㎡，内墙翻修2500㎡，外墙翻修2500㎡，地面改造1000㎡，屋面防水1000㎡，水电改造1000m2，内部道路1500m2，停车场6000㎡，消防管网2600m，消防水池及设施4套，应急电源1套，电力杆线下地6600m，排水管网4200m，供水管网5400m，监控安防3套，体育健身场11700㎡。</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投资规模：15359.8万元。</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2、衡阳拖拉机厂老旧厂区改造及配套基础设施和公共服务建设项目</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项目实施范围涉及衡阳拖拉机厂，建设内容包括：厂房改造102431㎡、配套道路32551㎡、停车位64个、电力杆线下地2488m、污水管4976m、消防水管5971m、消防水池及设施2套、监控安防1套、室内篮球场1231㎡、文化设施9015㎡、社区服务中心800㎡、养老服务设施175.2㎡、托幼服务设施3459㎡、充电桩12套。</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投资规模：19080.85 万元。</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3、衡阳木材厂老旧厂区改造及配套基础设施和公共服务建设项目</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项目实施范围涉及衡阳木材厂、衡阳市白水泥厂，建设内容包括：危房加固5000㎡，内墙翻修30000㎡，外墙翻修30000㎡，地面改造12000㎡，屋面防水19000㎡，水电改造11000m2，配套道路23800㎡、地面水泥硬化3600㎡、停车场12480㎡、充电桩28个、消防管网5600m、消防水池及设施4套、自备应急电源（含配电房）2套、电力杆线下地4600m、排水管网5000m、供水管网5000m、监控安防2套、体育健身场1600㎡、医务室180㎡</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投资规模：8405.00 万元。</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4、衡阳市砂轮厂老旧厂区改造及配套基础设施和公共服务建设项目</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项目实施范围涉及衡阳砂轮厂、衡阳市第二塑料厂、衡阳市光学仪器厂，建设内容包括：1、衡阳市第二塑料厂危房加固800㎡、厂房装修1000㎡、外墙翻新200㎡、屋顶防水1000㎡、配套道路2500㎡、给水管1000m、排水管1000m、充电桩1套。2、光学仪器厂厂房改造17001㎡、道路硬化2460㎡、道路油化17914㎡、给水管370m、排水管267m、充电桩5套、停车场2100㎡、电力杆线下地1750㎡、消防水池及设施1套、消防栓5套、微型消防站1套、自备应急电源（含配电房）1套、照明灯具增加或更换140套、监控安防2套、体育健身场600㎡、文化设施4085㎡、围墙改造114m。3、衡阳砂轮厂厂房改造21220㎡、配套道路20400㎡、道路硬化4130㎡、道路油化13118㎡、给水管392m、排水管320m、充电桩4套、停车场1100㎡、电力杆线下地2200㎡、消防水池及设施1套、消防栓5套、微型消防站1套、自备应急电源（含配电房）1套、照明灯具增加或更换175套、监控安防2套、体育健身场600㎡、文化设施226㎡、围墙改造336m。</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投资规模：13666.15 万元。</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5、衡阳市毛纺织厂老旧厂区改造及配套基础设施和公共服务建设项目</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项目实施范围涉及衡阳市毛纺织厂，建设内容包括：厂房改造12000㎡，配套道路47500㎡、停车场400㎡、充电桩10个、消防管网1685m、消防水池及设施1套、自备应急电源（含配电房）1套、电力杆线下地1000m、排水管网1525m、供水管网1680m、监控安防2套。</w:t>
            </w:r>
          </w:p>
          <w:p>
            <w:pPr>
              <w:widowControl/>
              <w:spacing w:line="480" w:lineRule="exact"/>
              <w:jc w:val="left"/>
              <w:rPr>
                <w:rFonts w:ascii="仿宋" w:hAnsi="仿宋" w:eastAsia="仿宋" w:cs="仿宋"/>
                <w:sz w:val="24"/>
              </w:rPr>
            </w:pPr>
            <w:r>
              <w:rPr>
                <w:rFonts w:hint="eastAsia" w:ascii="仿宋" w:hAnsi="仿宋" w:eastAsia="仿宋" w:cs="仿宋"/>
                <w:kern w:val="0"/>
                <w:sz w:val="24"/>
              </w:rPr>
              <w:t>投资规模：6658.00万元</w:t>
            </w:r>
          </w:p>
        </w:tc>
      </w:tr>
      <w:tr>
        <w:tblPrEx>
          <w:tblLayout w:type="fixed"/>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自筹</w:t>
            </w:r>
          </w:p>
        </w:tc>
      </w:tr>
      <w:tr>
        <w:tblPrEx>
          <w:tblLayout w:type="fixed"/>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cs="仿宋"/>
                <w:sz w:val="24"/>
              </w:rPr>
            </w:pPr>
            <w:r>
              <w:rPr>
                <w:rFonts w:hint="eastAsia" w:ascii="仿宋" w:hAnsi="仿宋" w:eastAsia="仿宋" w:cs="仿宋"/>
                <w:kern w:val="0"/>
                <w:sz w:val="24"/>
              </w:rPr>
              <w:t>面向社会公开比选可研类服务机构</w:t>
            </w:r>
          </w:p>
        </w:tc>
      </w:tr>
      <w:tr>
        <w:tblPrEx>
          <w:tblLayout w:type="fixed"/>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cs="仿宋"/>
                <w:sz w:val="24"/>
              </w:rPr>
            </w:pPr>
            <w:r>
              <w:rPr>
                <w:rFonts w:hint="eastAsia" w:ascii="仿宋" w:hAnsi="仿宋" w:eastAsia="仿宋" w:cs="仿宋"/>
                <w:kern w:val="0"/>
                <w:sz w:val="24"/>
              </w:rPr>
              <w:t>无</w:t>
            </w:r>
          </w:p>
        </w:tc>
      </w:tr>
      <w:tr>
        <w:tblPrEx>
          <w:tblLayout w:type="fixed"/>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1.具有独立法人资格并依法取得营业执照，营业执照处于有效期。2.资质要求：具备/主管部门颁发的 /以上资质，资质证书处于有效期。</w:t>
            </w:r>
          </w:p>
          <w:p>
            <w:pPr>
              <w:adjustRightInd w:val="0"/>
              <w:snapToGrid w:val="0"/>
              <w:spacing w:line="560" w:lineRule="exact"/>
              <w:jc w:val="left"/>
              <w:rPr>
                <w:rFonts w:ascii="仿宋" w:hAnsi="仿宋" w:eastAsia="仿宋" w:cs="仿宋"/>
                <w:sz w:val="24"/>
              </w:rPr>
            </w:pPr>
            <w:r>
              <w:rPr>
                <w:rFonts w:ascii="仿宋" w:hAnsi="仿宋" w:eastAsia="仿宋" w:cs="仿宋"/>
                <w:sz w:val="24"/>
              </w:rPr>
              <w:t>3.类似项目业绩要求：</w:t>
            </w:r>
          </w:p>
          <w:p>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pPr>
              <w:adjustRightInd w:val="0"/>
              <w:snapToGrid w:val="0"/>
              <w:spacing w:line="560" w:lineRule="exact"/>
              <w:jc w:val="left"/>
              <w:rPr>
                <w:rFonts w:ascii="仿宋" w:hAnsi="仿宋" w:eastAsia="仿宋" w:cs="仿宋"/>
                <w:sz w:val="24"/>
              </w:rPr>
            </w:pPr>
            <w:r>
              <w:rPr>
                <w:rFonts w:ascii="仿宋" w:hAnsi="仿宋" w:eastAsia="仿宋" w:cs="仿宋"/>
                <w:sz w:val="24"/>
              </w:rPr>
              <w:t>☑提供:近3年内（ 2022 年 2 月至 2025 年 2 月）不少于 1 个（1至3个） 合同金额3万元以上的类似项目业绩。</w:t>
            </w:r>
          </w:p>
          <w:p>
            <w:pPr>
              <w:adjustRightInd w:val="0"/>
              <w:snapToGrid w:val="0"/>
              <w:spacing w:line="560" w:lineRule="exact"/>
              <w:jc w:val="left"/>
              <w:rPr>
                <w:rFonts w:ascii="仿宋" w:hAnsi="仿宋" w:eastAsia="仿宋" w:cs="仿宋"/>
                <w:sz w:val="24"/>
              </w:rPr>
            </w:pPr>
            <w:r>
              <w:rPr>
                <w:rFonts w:ascii="仿宋" w:hAnsi="仿宋" w:eastAsia="仿宋" w:cs="仿宋"/>
                <w:sz w:val="24"/>
              </w:rPr>
              <w:t>类似项目业绩是指:棚户区改造或老旧小区提质改造或城中村改造建设项目的可研服务项目。</w:t>
            </w:r>
          </w:p>
          <w:p>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pPr>
              <w:adjustRightInd w:val="0"/>
              <w:snapToGrid w:val="0"/>
              <w:spacing w:line="560" w:lineRule="exact"/>
              <w:jc w:val="left"/>
              <w:rPr>
                <w:rFonts w:ascii="仿宋" w:hAnsi="仿宋" w:eastAsia="仿宋" w:cs="仿宋"/>
                <w:sz w:val="24"/>
              </w:rPr>
            </w:pPr>
            <w:r>
              <w:rPr>
                <w:rFonts w:ascii="仿宋" w:hAnsi="仿宋" w:eastAsia="仿宋" w:cs="仿宋"/>
                <w:sz w:val="24"/>
              </w:rPr>
              <w:t>☑提供：拟任项目负责人须具有 咨询工程师(投资)登记证书 （证书或中级职称或执业资格等），且为本单位在职员工，并提供劳动和社会保障部门出具的投标截止时间前近半年连续6个月（ 2024 年 9 月至 2025 年 2 月）的社保证明。</w:t>
            </w:r>
          </w:p>
          <w:p>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pPr>
              <w:adjustRightInd w:val="0"/>
              <w:snapToGrid w:val="0"/>
              <w:spacing w:line="560" w:lineRule="exact"/>
              <w:jc w:val="left"/>
              <w:rPr>
                <w:rFonts w:ascii="仿宋" w:hAnsi="仿宋" w:eastAsia="仿宋" w:cs="仿宋"/>
                <w:sz w:val="24"/>
              </w:rPr>
            </w:pPr>
            <w:r>
              <w:rPr>
                <w:rFonts w:ascii="仿宋" w:hAnsi="仿宋" w:eastAsia="仿宋" w:cs="仿宋"/>
                <w:sz w:val="24"/>
              </w:rPr>
              <w:t>□提供:              。</w:t>
            </w:r>
          </w:p>
          <w:p>
            <w:pPr>
              <w:adjustRightInd w:val="0"/>
              <w:snapToGrid w:val="0"/>
              <w:spacing w:line="560" w:lineRule="exact"/>
              <w:jc w:val="left"/>
              <w:rPr>
                <w:rFonts w:ascii="仿宋" w:hAnsi="仿宋" w:eastAsia="仿宋" w:cs="仿宋"/>
                <w:sz w:val="24"/>
              </w:rPr>
            </w:pPr>
            <w:r>
              <w:rPr>
                <w:rFonts w:ascii="仿宋" w:hAnsi="仿宋" w:eastAsia="仿宋" w:cs="仿宋"/>
                <w:sz w:val="24"/>
              </w:rPr>
              <w:t>6.信誉要求：近三年内，在经营活动中无不良记录。</w:t>
            </w:r>
          </w:p>
          <w:p>
            <w:pPr>
              <w:adjustRightInd w:val="0"/>
              <w:snapToGrid w:val="0"/>
              <w:spacing w:line="560" w:lineRule="exact"/>
              <w:jc w:val="left"/>
              <w:rPr>
                <w:rFonts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pPr>
              <w:adjustRightInd w:val="0"/>
              <w:snapToGrid w:val="0"/>
              <w:spacing w:line="560" w:lineRule="exact"/>
              <w:jc w:val="left"/>
              <w:rPr>
                <w:rFonts w:ascii="仿宋" w:hAnsi="仿宋" w:eastAsia="仿宋" w:cs="仿宋"/>
                <w:sz w:val="24"/>
              </w:rPr>
            </w:pPr>
            <w:r>
              <w:rPr>
                <w:rFonts w:ascii="仿宋" w:hAnsi="仿宋" w:eastAsia="仿宋" w:cs="仿宋"/>
                <w:sz w:val="24"/>
              </w:rPr>
              <w:t>8.联合体要求：本次比选不接受联合体参加。</w:t>
            </w:r>
          </w:p>
          <w:p>
            <w:pPr>
              <w:adjustRightInd w:val="0"/>
              <w:snapToGrid w:val="0"/>
              <w:spacing w:line="560" w:lineRule="exact"/>
              <w:jc w:val="left"/>
              <w:rPr>
                <w:rFonts w:ascii="仿宋" w:hAnsi="仿宋" w:eastAsia="仿宋" w:cs="仿宋"/>
                <w:sz w:val="24"/>
              </w:rPr>
            </w:pPr>
            <w:r>
              <w:rPr>
                <w:rFonts w:ascii="仿宋" w:hAnsi="仿宋" w:eastAsia="仿宋" w:cs="仿宋"/>
                <w:sz w:val="24"/>
              </w:rPr>
              <w:t>9.其他要求： 咨询单位需在全国投资项目在线审批监管平台备案 。</w:t>
            </w:r>
          </w:p>
        </w:tc>
      </w:tr>
      <w:tr>
        <w:tblPrEx>
          <w:tblLayout w:type="fixed"/>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4</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9</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tblPrEx>
          <w:tblLayout w:type="fixed"/>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w:t>
            </w:r>
          </w:p>
        </w:tc>
      </w:tr>
      <w:tr>
        <w:tblPrEx>
          <w:tblLayout w:type="fixed"/>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tblPrEx>
          <w:tblLayout w:type="fixed"/>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tblPrEx>
          <w:tblLayout w:type="fixed"/>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tblPrEx>
          <w:tblLayout w:type="fixed"/>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tblPrEx>
          <w:tblLayout w:type="fixed"/>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10000 </w:t>
            </w:r>
            <w:r>
              <w:rPr>
                <w:rFonts w:hint="eastAsia" w:ascii="仿宋" w:hAnsi="仿宋" w:eastAsia="仿宋" w:cs="仿宋"/>
                <w:kern w:val="0"/>
                <w:sz w:val="24"/>
              </w:rPr>
              <w:t>元。</w:t>
            </w:r>
          </w:p>
        </w:tc>
      </w:tr>
      <w:tr>
        <w:tblPrEx>
          <w:tblLayout w:type="fixed"/>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综合评分法。</w:t>
            </w:r>
          </w:p>
        </w:tc>
      </w:tr>
      <w:tr>
        <w:tblPrEx>
          <w:tblLayout w:type="fixed"/>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486900.00</w:t>
            </w:r>
            <w:r>
              <w:rPr>
                <w:rFonts w:hint="eastAsia" w:ascii="仿宋" w:hAnsi="仿宋" w:eastAsia="仿宋" w:cs="仿宋"/>
                <w:kern w:val="0"/>
                <w:sz w:val="24"/>
              </w:rPr>
              <w:t xml:space="preserve">元。       </w:t>
            </w:r>
          </w:p>
        </w:tc>
      </w:tr>
      <w:tr>
        <w:tblPrEx>
          <w:tblLayout w:type="fixed"/>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tblPrEx>
          <w:tblLayout w:type="fixed"/>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p>
        </w:tc>
      </w:tr>
      <w:tr>
        <w:tblPrEx>
          <w:tblLayout w:type="fixed"/>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widowControl/>
              <w:spacing w:line="480" w:lineRule="exact"/>
              <w:jc w:val="center"/>
              <w:rPr>
                <w:rFonts w:ascii="仿宋" w:hAnsi="仿宋" w:eastAsia="仿宋" w:cs="仿宋"/>
                <w:kern w:val="0"/>
                <w:sz w:val="24"/>
              </w:rPr>
            </w:pPr>
            <w:r>
              <w:rPr>
                <w:rFonts w:hint="eastAsia" w:ascii="仿宋" w:hAnsi="仿宋" w:eastAsia="仿宋" w:cs="仿宋"/>
                <w:kern w:val="0"/>
                <w:sz w:val="24"/>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widowControl/>
              <w:spacing w:line="480" w:lineRule="exact"/>
              <w:rPr>
                <w:rFonts w:ascii="仿宋" w:hAnsi="仿宋" w:eastAsia="仿宋" w:cs="仿宋"/>
                <w:kern w:val="0"/>
                <w:sz w:val="24"/>
              </w:rPr>
            </w:pPr>
            <w:r>
              <w:rPr>
                <w:rFonts w:hint="eastAsia" w:ascii="仿宋" w:hAnsi="仿宋" w:eastAsia="仿宋" w:cs="仿宋"/>
                <w:kern w:val="0"/>
                <w:sz w:val="24"/>
              </w:rPr>
              <w:t>本项目不允许偏离，比选人要求需全部响应。</w:t>
            </w:r>
          </w:p>
        </w:tc>
      </w:tr>
    </w:tbl>
    <w:p>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（6）比选文件规定的其他情形。</w:t>
      </w:r>
    </w:p>
    <w:p>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pPr>
        <w:widowControl/>
        <w:spacing w:line="480" w:lineRule="exact"/>
        <w:ind w:firstLine="643" w:firstLineChars="200"/>
        <w:rPr>
          <w:rFonts w:ascii="黑体" w:hAnsi="黑体" w:eastAsia="黑体" w:cs="黑体"/>
          <w:b/>
          <w:bCs/>
          <w:kern w:val="0"/>
          <w:sz w:val="32"/>
          <w:szCs w:val="32"/>
        </w:rPr>
      </w:pPr>
    </w:p>
    <w:p>
      <w:pPr>
        <w:widowControl/>
        <w:spacing w:line="480" w:lineRule="exact"/>
        <w:ind w:firstLine="643" w:firstLineChars="200"/>
        <w:rPr>
          <w:rFonts w:ascii="黑体" w:hAnsi="黑体" w:eastAsia="黑体" w:cs="黑体"/>
          <w:b/>
          <w:bCs/>
          <w:kern w:val="0"/>
          <w:sz w:val="32"/>
          <w:szCs w:val="32"/>
        </w:rPr>
      </w:pPr>
    </w:p>
    <w:p>
      <w:pPr>
        <w:widowControl/>
        <w:spacing w:line="480" w:lineRule="exact"/>
        <w:ind w:firstLine="643" w:firstLineChars="200"/>
        <w:rPr>
          <w:rFonts w:ascii="黑体" w:hAnsi="黑体" w:eastAsia="黑体" w:cs="黑体"/>
          <w:b/>
          <w:bCs/>
          <w:kern w:val="0"/>
          <w:sz w:val="32"/>
          <w:szCs w:val="32"/>
        </w:rPr>
      </w:pPr>
    </w:p>
    <w:p>
      <w:pPr>
        <w:widowControl/>
        <w:spacing w:line="480" w:lineRule="exact"/>
        <w:ind w:firstLine="643" w:firstLineChars="200"/>
        <w:rPr>
          <w:rFonts w:ascii="黑体" w:hAnsi="黑体" w:eastAsia="黑体" w:cs="黑体"/>
          <w:b/>
          <w:bCs/>
          <w:kern w:val="0"/>
          <w:sz w:val="32"/>
          <w:szCs w:val="32"/>
        </w:rPr>
      </w:pPr>
    </w:p>
    <w:p>
      <w:pPr>
        <w:rPr>
          <w:rFonts w:ascii="黑体" w:hAnsi="黑体" w:eastAsia="黑体" w:cs="黑体"/>
          <w:b/>
          <w:bCs/>
          <w:kern w:val="0"/>
          <w:sz w:val="32"/>
          <w:szCs w:val="32"/>
        </w:rPr>
      </w:pPr>
      <w:r>
        <w:rPr>
          <w:rFonts w:hint="eastAsia" w:ascii="黑体" w:hAnsi="黑体" w:eastAsia="黑体" w:cs="黑体"/>
          <w:b/>
          <w:bCs/>
          <w:kern w:val="0"/>
          <w:sz w:val="32"/>
          <w:szCs w:val="32"/>
        </w:rPr>
        <w:br w:type="page"/>
      </w:r>
    </w:p>
    <w:p>
      <w:pPr>
        <w:widowControl/>
        <w:spacing w:line="480" w:lineRule="exact"/>
        <w:ind w:firstLine="643" w:firstLineChars="200"/>
        <w:rPr>
          <w:rFonts w:ascii="黑体" w:hAnsi="黑体" w:eastAsia="黑体" w:cs="黑体"/>
          <w:b/>
          <w:bCs/>
          <w:kern w:val="0"/>
          <w:sz w:val="32"/>
          <w:szCs w:val="32"/>
        </w:rPr>
      </w:pPr>
    </w:p>
    <w:p>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第三章 参选文件要求</w:t>
      </w:r>
    </w:p>
    <w:p>
      <w:pPr>
        <w:widowControl/>
        <w:spacing w:line="480" w:lineRule="exact"/>
        <w:rPr>
          <w:rFonts w:ascii="仿宋" w:hAnsi="仿宋" w:eastAsia="仿宋"/>
          <w:spacing w:val="15"/>
          <w:kern w:val="0"/>
          <w:sz w:val="28"/>
          <w:szCs w:val="28"/>
        </w:rPr>
      </w:pPr>
    </w:p>
    <w:p>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（2）业绩：参选单位独立完成的完整版合同复印件，并加盖参选单位公章。</w:t>
      </w:r>
    </w:p>
    <w:p>
      <w:pPr>
        <w:widowControl/>
        <w:spacing w:line="480" w:lineRule="exact"/>
        <w:ind w:firstLine="620" w:firstLineChars="200"/>
        <w:rPr>
          <w:rFonts w:ascii="仿宋" w:hAnsi="仿宋" w:eastAsia="仿宋" w:cs="仿宋"/>
          <w:spacing w:val="15"/>
          <w:kern w:val="0"/>
          <w:sz w:val="28"/>
          <w:szCs w:val="28"/>
          <w:highlight w:val="yellow"/>
        </w:rPr>
      </w:pPr>
      <w:r>
        <w:rPr>
          <w:rFonts w:hint="eastAsia" w:ascii="仿宋" w:hAnsi="仿宋" w:eastAsia="仿宋" w:cs="仿宋"/>
          <w:spacing w:val="15"/>
          <w:kern w:val="0"/>
          <w:sz w:val="28"/>
          <w:szCs w:val="28"/>
        </w:rPr>
        <w:t>（3）项目负责人要求：提供项目负责人</w:t>
      </w:r>
      <w:r>
        <w:rPr>
          <w:rFonts w:hint="eastAsia" w:ascii="仿宋" w:hAnsi="仿宋" w:eastAsia="仿宋" w:cs="仿宋"/>
          <w:sz w:val="28"/>
          <w:szCs w:val="28"/>
        </w:rPr>
        <w:t>咨询工程师(投资)职业资格证书复印件</w:t>
      </w:r>
      <w:r>
        <w:rPr>
          <w:rFonts w:hint="eastAsia" w:ascii="仿宋" w:hAnsi="仿宋" w:eastAsia="仿宋" w:cs="仿宋"/>
          <w:spacing w:val="15"/>
          <w:kern w:val="0"/>
          <w:sz w:val="28"/>
          <w:szCs w:val="28"/>
        </w:rPr>
        <w:t>，并加盖参选单位公章。</w:t>
      </w:r>
    </w:p>
    <w:p>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（4）“信用中国”网站查询后下载信用信息报告自动生成的PDF文件，并加盖参选单位公章。</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（5）</w:t>
      </w:r>
      <w:r>
        <w:rPr>
          <w:rFonts w:hint="eastAsia" w:ascii="仿宋" w:hAnsi="仿宋" w:eastAsia="仿宋"/>
          <w:spacing w:val="15"/>
          <w:kern w:val="0"/>
          <w:sz w:val="28"/>
          <w:szCs w:val="28"/>
        </w:rPr>
        <w:t>企查查首页股东信息，主要人员截图并加盖参选单位公章。</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（6）全国投资项目在线审批监管平台备案网上查询截图，并加盖参选单位公章。</w:t>
      </w:r>
    </w:p>
    <w:p>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（7）</w:t>
      </w:r>
      <w:r>
        <w:rPr>
          <w:rFonts w:hint="eastAsia" w:ascii="仿宋" w:hAnsi="仿宋" w:eastAsia="仿宋" w:cs="仿宋"/>
          <w:spacing w:val="15"/>
          <w:kern w:val="0"/>
          <w:sz w:val="28"/>
          <w:szCs w:val="28"/>
        </w:rPr>
        <w:t>其他资格要求证明文件（如有，格式自拟）</w:t>
      </w:r>
    </w:p>
    <w:p>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spacing w:val="15"/>
          <w:kern w:val="0"/>
          <w:sz w:val="28"/>
          <w:szCs w:val="28"/>
        </w:rPr>
        <w:t>8.商务和技术偏差表（按附件7格式）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9.其他（如有，格式自拟）</w:t>
      </w:r>
    </w:p>
    <w:p>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pPr>
        <w:adjustRightInd w:val="0"/>
        <w:snapToGrid w:val="0"/>
        <w:spacing w:line="560" w:lineRule="exact"/>
        <w:ind w:firstLine="560" w:firstLineChars="20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 xml:space="preserve">为全权代表，参加贵方组织的 </w:t>
      </w:r>
      <w:r>
        <w:rPr>
          <w:rFonts w:hint="eastAsia" w:ascii="仿宋" w:hAnsi="仿宋" w:eastAsia="仿宋" w:cs="仿宋"/>
          <w:sz w:val="28"/>
          <w:szCs w:val="28"/>
          <w:u w:val="single"/>
        </w:rPr>
        <w:t>衡阳建湘柴油机厂等5个老旧厂区改造项目可研编制机构</w:t>
      </w:r>
      <w:r>
        <w:rPr>
          <w:rFonts w:hint="eastAsia" w:ascii="仿宋" w:hAnsi="仿宋" w:eastAsia="仿宋" w:cs="仿宋"/>
          <w:sz w:val="28"/>
          <w:szCs w:val="28"/>
          <w:u w:val="single"/>
          <w:lang w:val="en-US" w:eastAsia="zh-CN"/>
        </w:rPr>
        <w:t>公开</w:t>
      </w:r>
      <w:r>
        <w:rPr>
          <w:rFonts w:hint="eastAsia" w:ascii="仿宋" w:hAnsi="仿宋" w:eastAsia="仿宋"/>
          <w:kern w:val="0"/>
          <w:sz w:val="28"/>
          <w:szCs w:val="28"/>
          <w:u w:val="single"/>
        </w:rPr>
        <w:t>比选</w:t>
      </w:r>
      <w:r>
        <w:rPr>
          <w:rFonts w:hint="eastAsia" w:ascii="仿宋" w:hAnsi="仿宋" w:eastAsia="仿宋"/>
          <w:kern w:val="0"/>
          <w:sz w:val="28"/>
          <w:szCs w:val="28"/>
        </w:rPr>
        <w:t>的有关活动。我方已充分理解贵方本项目比选公告及比选文件的全部内容，包括补充、修改、澄清、答疑文件（如果有），我方接受比选文件的全部条款，且无任何异议。</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pPr>
        <w:adjustRightInd w:val="0"/>
        <w:snapToGrid w:val="0"/>
        <w:spacing w:line="56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可行性研究报告编制</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可行性研究报告编制   </w:t>
      </w:r>
      <w:r>
        <w:rPr>
          <w:rFonts w:hint="eastAsia" w:ascii="仿宋" w:hAnsi="仿宋" w:eastAsia="仿宋"/>
          <w:kern w:val="0"/>
          <w:sz w:val="28"/>
          <w:szCs w:val="28"/>
        </w:rPr>
        <w:t>服务工作结束前，遵守本比选文件的承诺，且在此期限内具有约束力。</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pPr>
        <w:spacing w:line="480" w:lineRule="exact"/>
        <w:rPr>
          <w:rFonts w:ascii="宋体" w:hAnsi="宋体"/>
          <w:b/>
          <w:bCs/>
          <w:kern w:val="0"/>
          <w:sz w:val="28"/>
          <w:szCs w:val="28"/>
        </w:rPr>
      </w:pPr>
      <w:r>
        <w:rPr>
          <w:rFonts w:hint="eastAsia" w:ascii="宋体" w:hAnsi="宋体"/>
          <w:b/>
          <w:bCs/>
          <w:kern w:val="0"/>
          <w:sz w:val="28"/>
          <w:szCs w:val="28"/>
        </w:rPr>
        <w:br w:type="page"/>
      </w:r>
    </w:p>
    <w:p>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pPr>
        <w:widowControl/>
        <w:spacing w:line="480" w:lineRule="exact"/>
        <w:jc w:val="left"/>
        <w:rPr>
          <w:rFonts w:ascii="仿宋" w:hAnsi="仿宋" w:eastAsia="仿宋"/>
          <w:kern w:val="0"/>
          <w:sz w:val="24"/>
        </w:rPr>
      </w:pP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可行性研究报告编制 </w:t>
      </w:r>
      <w:r>
        <w:rPr>
          <w:rFonts w:hint="eastAsia" w:ascii="仿宋" w:hAnsi="仿宋" w:eastAsia="仿宋"/>
          <w:kern w:val="0"/>
          <w:sz w:val="28"/>
          <w:szCs w:val="28"/>
        </w:rPr>
        <w:t>服务业务。</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pPr>
        <w:widowControl/>
        <w:spacing w:line="480" w:lineRule="exact"/>
        <w:jc w:val="left"/>
        <w:rPr>
          <w:rFonts w:ascii="仿宋" w:hAnsi="仿宋" w:eastAsia="仿宋"/>
          <w:kern w:val="0"/>
          <w:sz w:val="28"/>
          <w:szCs w:val="28"/>
        </w:rPr>
      </w:pP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pPr>
        <w:widowControl/>
        <w:spacing w:line="480" w:lineRule="exact"/>
        <w:jc w:val="left"/>
        <w:rPr>
          <w:rFonts w:ascii="仿宋" w:hAnsi="仿宋" w:eastAsia="仿宋"/>
          <w:kern w:val="0"/>
          <w:sz w:val="28"/>
          <w:szCs w:val="28"/>
        </w:rPr>
      </w:pPr>
    </w:p>
    <w:p>
      <w:pPr>
        <w:pStyle w:val="15"/>
        <w:ind w:firstLine="400"/>
      </w:pP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pPr>
        <w:widowControl/>
        <w:spacing w:line="480" w:lineRule="exact"/>
        <w:ind w:firstLine="420"/>
        <w:jc w:val="left"/>
        <w:rPr>
          <w:kern w:val="0"/>
          <w:szCs w:val="21"/>
        </w:rPr>
      </w:pPr>
    </w:p>
    <w:p>
      <w:pPr>
        <w:widowControl/>
        <w:spacing w:line="480" w:lineRule="exact"/>
        <w:ind w:firstLine="420"/>
        <w:jc w:val="left"/>
        <w:rPr>
          <w:kern w:val="0"/>
          <w:szCs w:val="21"/>
        </w:rPr>
      </w:pPr>
    </w:p>
    <w:p>
      <w:pPr>
        <w:widowControl/>
        <w:spacing w:line="480" w:lineRule="exact"/>
        <w:ind w:firstLine="420"/>
        <w:jc w:val="left"/>
        <w:rPr>
          <w:kern w:val="0"/>
          <w:szCs w:val="21"/>
        </w:rPr>
      </w:pPr>
    </w:p>
    <w:p>
      <w:pPr>
        <w:pStyle w:val="6"/>
        <w:ind w:firstLine="0"/>
      </w:pPr>
    </w:p>
    <w:p>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pPr>
        <w:adjustRightInd w:val="0"/>
        <w:snapToGrid w:val="0"/>
        <w:spacing w:line="360" w:lineRule="auto"/>
        <w:rPr>
          <w:rFonts w:ascii="仿宋_GB2312" w:hAnsi="华文仿宋" w:eastAsia="仿宋_GB2312"/>
          <w:sz w:val="28"/>
          <w:szCs w:val="28"/>
        </w:rPr>
      </w:pPr>
    </w:p>
    <w:p>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20"/>
        <w:tblpPr w:leftFromText="180" w:rightFromText="180" w:vertAnchor="text" w:horzAnchor="page" w:tblpX="1862" w:tblpY="353"/>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pPr>
        <w:adjustRightInd w:val="0"/>
        <w:snapToGrid w:val="0"/>
        <w:spacing w:line="360" w:lineRule="auto"/>
        <w:rPr>
          <w:rFonts w:ascii="仿宋" w:hAnsi="仿宋" w:eastAsia="仿宋" w:cs="仿宋"/>
          <w:sz w:val="28"/>
          <w:szCs w:val="28"/>
        </w:rPr>
      </w:pPr>
    </w:p>
    <w:p>
      <w:pPr>
        <w:adjustRightInd w:val="0"/>
        <w:snapToGrid w:val="0"/>
        <w:spacing w:line="360" w:lineRule="auto"/>
        <w:rPr>
          <w:rFonts w:ascii="仿宋" w:hAnsi="仿宋" w:eastAsia="仿宋" w:cs="仿宋"/>
          <w:sz w:val="28"/>
          <w:szCs w:val="28"/>
        </w:rPr>
      </w:pPr>
    </w:p>
    <w:p>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pPr>
        <w:adjustRightInd w:val="0"/>
        <w:snapToGrid w:val="0"/>
        <w:spacing w:line="360" w:lineRule="auto"/>
        <w:ind w:firstLine="2511" w:firstLineChars="897"/>
        <w:rPr>
          <w:rFonts w:ascii="仿宋" w:hAnsi="仿宋" w:eastAsia="仿宋" w:cs="仿宋"/>
          <w:sz w:val="28"/>
          <w:szCs w:val="28"/>
        </w:rPr>
      </w:pPr>
    </w:p>
    <w:p>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pPr>
        <w:widowControl/>
        <w:topLinePunct/>
        <w:spacing w:line="620" w:lineRule="exact"/>
        <w:rPr>
          <w:rFonts w:ascii="仿宋" w:hAnsi="仿宋" w:eastAsia="仿宋" w:cs="仿宋"/>
          <w:kern w:val="0"/>
          <w:sz w:val="28"/>
          <w:szCs w:val="28"/>
        </w:rPr>
      </w:pPr>
    </w:p>
    <w:p>
      <w:pPr>
        <w:widowControl/>
        <w:topLinePun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pPr>
        <w:pStyle w:val="7"/>
      </w:pPr>
    </w:p>
    <w:p/>
    <w:p>
      <w:pPr>
        <w:spacing w:line="480" w:lineRule="exact"/>
        <w:rPr>
          <w:rFonts w:ascii="宋体" w:hAnsi="宋体"/>
          <w:b/>
          <w:bCs/>
          <w:spacing w:val="15"/>
          <w:kern w:val="0"/>
          <w:sz w:val="28"/>
          <w:szCs w:val="28"/>
        </w:rPr>
      </w:pPr>
    </w:p>
    <w:p>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p>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w:t>
      </w:r>
      <w:r>
        <w:rPr>
          <w:rFonts w:hint="eastAsia" w:ascii="仿宋" w:hAnsi="仿宋" w:eastAsia="仿宋" w:cs="仿宋"/>
          <w:b/>
          <w:kern w:val="0"/>
          <w:sz w:val="28"/>
          <w:szCs w:val="28"/>
          <w:u w:val="single"/>
        </w:rPr>
        <w:t xml:space="preserve">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衡</w:t>
      </w:r>
      <w:r>
        <w:rPr>
          <w:rFonts w:hint="eastAsia" w:ascii="仿宋" w:hAnsi="仿宋" w:eastAsia="仿宋" w:cs="仿宋"/>
          <w:sz w:val="28"/>
          <w:szCs w:val="28"/>
          <w:u w:val="single"/>
        </w:rPr>
        <w:t xml:space="preserve">阳建湘柴油机厂等5个老旧厂区改造项目可研编制机构公开比选 </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20"/>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pPr>
        <w:widowControl/>
        <w:topLinePunct/>
        <w:spacing w:line="620" w:lineRule="exact"/>
        <w:ind w:firstLine="20" w:firstLineChars="7"/>
        <w:jc w:val="right"/>
        <w:rPr>
          <w:rFonts w:ascii="仿宋" w:hAnsi="仿宋" w:eastAsia="仿宋" w:cs="仿宋"/>
          <w:kern w:val="0"/>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pPr>
        <w:pStyle w:val="7"/>
      </w:pPr>
    </w:p>
    <w:p>
      <w:pPr>
        <w:widowControl/>
        <w:topLinePun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pPr>
        <w:spacing w:line="480" w:lineRule="exact"/>
        <w:rPr>
          <w:rFonts w:ascii="宋体" w:hAnsi="宋体"/>
          <w:b/>
          <w:bCs/>
          <w:kern w:val="0"/>
          <w:sz w:val="28"/>
          <w:szCs w:val="28"/>
        </w:rPr>
      </w:pPr>
      <w:r>
        <w:rPr>
          <w:rFonts w:hint="eastAsia" w:ascii="宋体" w:hAnsi="宋体"/>
          <w:b/>
          <w:bCs/>
          <w:kern w:val="0"/>
          <w:sz w:val="28"/>
          <w:szCs w:val="28"/>
        </w:rPr>
        <w:br w:type="page"/>
      </w:r>
    </w:p>
    <w:p>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20"/>
        <w:tblW w:w="879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法定</w:t>
            </w:r>
          </w:p>
          <w:p>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组织机构</w:t>
            </w:r>
          </w:p>
          <w:p>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上年营业</w:t>
            </w:r>
          </w:p>
          <w:p>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员工</w:t>
            </w:r>
          </w:p>
          <w:p>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发证</w:t>
            </w:r>
          </w:p>
          <w:p>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pPr>
        <w:widowControl/>
        <w:spacing w:line="480" w:lineRule="exact"/>
        <w:rPr>
          <w:rFonts w:ascii="仿宋" w:hAnsi="仿宋" w:eastAsia="仿宋"/>
          <w:kern w:val="0"/>
          <w:sz w:val="28"/>
          <w:szCs w:val="28"/>
        </w:rPr>
      </w:pP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20"/>
        <w:tblW w:w="937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rPr>
                <w:rFonts w:ascii="仿宋" w:hAnsi="仿宋" w:eastAsia="仿宋" w:cs="仿宋"/>
                <w:sz w:val="28"/>
                <w:szCs w:val="28"/>
              </w:rPr>
            </w:pPr>
            <w:r>
              <w:rPr>
                <w:rFonts w:hint="eastAsia" w:ascii="仿宋" w:hAnsi="仿宋" w:eastAsia="仿宋"/>
                <w:kern w:val="0"/>
                <w:sz w:val="28"/>
                <w:szCs w:val="28"/>
              </w:rPr>
              <w:t>衡阳建湘柴油机厂等5个老旧厂区改造项目可研编制机构公开比选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ascii="仿宋" w:hAnsi="仿宋" w:eastAsia="仿宋" w:cs="仿宋"/>
                <w:sz w:val="28"/>
                <w:szCs w:val="28"/>
              </w:rPr>
            </w:pPr>
            <w:r>
              <w:rPr>
                <w:rFonts w:ascii="仿宋" w:hAnsi="仿宋" w:eastAsia="仿宋" w:cs="仿宋"/>
                <w:sz w:val="28"/>
                <w:szCs w:val="28"/>
              </w:rPr>
              <w:t>对衡阳建湘柴油机厂等5个老旧厂区改造项目编制可行性研究报告（含前期方案设计）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pPr>
              <w:adjustRightInd w:val="0"/>
              <w:snapToGrid w:val="0"/>
              <w:spacing w:line="380" w:lineRule="exact"/>
              <w:rPr>
                <w:rFonts w:ascii="仿宋" w:hAnsi="仿宋" w:eastAsia="仿宋" w:cs="仿宋"/>
                <w:sz w:val="28"/>
                <w:szCs w:val="28"/>
              </w:rPr>
            </w:pPr>
          </w:p>
          <w:p>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486900</w:t>
            </w:r>
            <w:r>
              <w:rPr>
                <w:rFonts w:hint="eastAsia" w:ascii="仿宋" w:hAnsi="仿宋" w:eastAsia="仿宋" w:cs="仿宋"/>
                <w:sz w:val="24"/>
              </w:rPr>
              <w:t>元，投标报价不得高于最高投标限价。</w:t>
            </w:r>
          </w:p>
          <w:p>
            <w:pPr>
              <w:spacing w:line="420" w:lineRule="exact"/>
              <w:rPr>
                <w:rFonts w:ascii="仿宋" w:hAnsi="仿宋" w:eastAsia="仿宋" w:cs="仿宋"/>
                <w:sz w:val="24"/>
              </w:rPr>
            </w:pPr>
          </w:p>
        </w:tc>
      </w:tr>
    </w:tbl>
    <w:p>
      <w:pPr>
        <w:widowControl/>
        <w:spacing w:line="480" w:lineRule="exact"/>
        <w:jc w:val="center"/>
        <w:rPr>
          <w:b/>
          <w:bCs/>
          <w:kern w:val="0"/>
          <w:sz w:val="28"/>
          <w:szCs w:val="28"/>
        </w:rPr>
      </w:pPr>
    </w:p>
    <w:p>
      <w:pPr>
        <w:widowControl/>
        <w:spacing w:line="480" w:lineRule="exact"/>
        <w:rPr>
          <w:rFonts w:ascii="仿宋" w:hAnsi="仿宋" w:eastAsia="仿宋"/>
          <w:kern w:val="0"/>
          <w:sz w:val="28"/>
          <w:szCs w:val="28"/>
        </w:rPr>
      </w:pP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rPr>
          <w:rFonts w:ascii="仿宋" w:hAnsi="仿宋" w:eastAsia="仿宋"/>
          <w:kern w:val="0"/>
          <w:sz w:val="28"/>
          <w:szCs w:val="28"/>
        </w:rPr>
      </w:pP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pPr>
        <w:widowControl/>
        <w:spacing w:line="480" w:lineRule="exact"/>
        <w:rPr>
          <w:rFonts w:ascii="仿宋" w:hAnsi="仿宋" w:eastAsia="仿宋"/>
          <w:kern w:val="0"/>
          <w:sz w:val="28"/>
          <w:szCs w:val="28"/>
        </w:rPr>
      </w:pP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pPr>
        <w:pStyle w:val="6"/>
      </w:pPr>
      <w:r>
        <w:br w:type="page"/>
      </w:r>
    </w:p>
    <w:p>
      <w:pPr>
        <w:widowControl/>
        <w:spacing w:line="480" w:lineRule="exact"/>
        <w:ind w:firstLine="562"/>
        <w:rPr>
          <w:rFonts w:ascii="宋体" w:hAnsi="宋体"/>
          <w:b/>
          <w:bCs/>
          <w:kern w:val="0"/>
          <w:sz w:val="28"/>
          <w:szCs w:val="28"/>
        </w:rPr>
      </w:pPr>
      <w:r>
        <w:rPr>
          <w:rFonts w:hint="eastAsia" w:ascii="宋体" w:hAnsi="宋体"/>
          <w:b/>
          <w:bCs/>
          <w:kern w:val="0"/>
          <w:sz w:val="28"/>
          <w:szCs w:val="28"/>
        </w:rPr>
        <w:t>附件7</w:t>
      </w:r>
    </w:p>
    <w:p>
      <w:pPr>
        <w:widowControl/>
        <w:jc w:val="center"/>
        <w:outlineLvl w:val="1"/>
        <w:rPr>
          <w:rFonts w:ascii="仿宋_GB2312" w:eastAsia="仿宋_GB2312"/>
          <w:kern w:val="0"/>
          <w:sz w:val="24"/>
        </w:rPr>
      </w:pPr>
      <w:r>
        <w:rPr>
          <w:rFonts w:hint="eastAsia" w:ascii="仿宋_GB2312" w:eastAsia="仿宋_GB2312"/>
          <w:b/>
          <w:sz w:val="32"/>
          <w:szCs w:val="32"/>
        </w:rPr>
        <w:t>商务和技术偏差表</w:t>
      </w:r>
    </w:p>
    <w:tbl>
      <w:tblPr>
        <w:tblStyle w:val="20"/>
        <w:tblW w:w="87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Calibri" w:hAnsi="Calibri" w:cs="Calibri"/>
                <w:b/>
                <w:kern w:val="0"/>
                <w:szCs w:val="21"/>
              </w:rPr>
            </w:pPr>
            <w:r>
              <w:rPr>
                <w:rFonts w:hint="eastAsia" w:ascii="宋体" w:hAnsi="宋体"/>
                <w:b/>
                <w:kern w:val="0"/>
              </w:rPr>
              <w:t>序号</w:t>
            </w:r>
          </w:p>
        </w:tc>
        <w:tc>
          <w:tcPr>
            <w:tcW w:w="269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b/>
                <w:kern w:val="0"/>
              </w:rPr>
            </w:pPr>
            <w:r>
              <w:rPr>
                <w:rFonts w:hint="eastAsia" w:ascii="宋体" w:hAnsi="宋体"/>
                <w:b/>
                <w:kern w:val="0"/>
              </w:rPr>
              <w:t>比选文件章节及条款号</w:t>
            </w:r>
          </w:p>
        </w:tc>
        <w:tc>
          <w:tcPr>
            <w:tcW w:w="3469"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b/>
                <w:kern w:val="0"/>
              </w:rPr>
            </w:pPr>
            <w:r>
              <w:rPr>
                <w:rFonts w:hint="eastAsia" w:ascii="宋体" w:hAnsi="宋体"/>
                <w:b/>
                <w:kern w:val="0"/>
              </w:rPr>
              <w:t>参选文件章节及条款号</w:t>
            </w:r>
          </w:p>
        </w:tc>
        <w:tc>
          <w:tcPr>
            <w:tcW w:w="162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b/>
                <w:kern w:val="0"/>
              </w:rPr>
            </w:pPr>
            <w:r>
              <w:rPr>
                <w:rFonts w:hint="eastAsia" w:ascii="宋体" w:hAnsi="宋体"/>
                <w:b/>
                <w:kern w:val="0"/>
              </w:rPr>
              <w:t>偏差说明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Calibri" w:hAnsi="Calibri" w:cs="Calibri"/>
                <w:kern w:val="0"/>
              </w:rPr>
            </w:pPr>
            <w:r>
              <w:rPr>
                <w:kern w:val="0"/>
              </w:rPr>
              <w:t>1</w:t>
            </w:r>
          </w:p>
        </w:tc>
        <w:tc>
          <w:tcPr>
            <w:tcW w:w="269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Calibri" w:hAnsi="Calibri" w:cs="Calibri"/>
                <w:kern w:val="0"/>
              </w:rPr>
            </w:pPr>
            <w:r>
              <w:rPr>
                <w:kern w:val="0"/>
              </w:rPr>
              <w:t>2</w:t>
            </w:r>
          </w:p>
        </w:tc>
        <w:tc>
          <w:tcPr>
            <w:tcW w:w="269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Calibri" w:hAnsi="Calibri" w:cs="Calibri"/>
                <w:kern w:val="0"/>
              </w:rPr>
            </w:pPr>
            <w:r>
              <w:rPr>
                <w:kern w:val="0"/>
              </w:rPr>
              <w:t>3</w:t>
            </w:r>
          </w:p>
        </w:tc>
        <w:tc>
          <w:tcPr>
            <w:tcW w:w="269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Calibri" w:hAnsi="Calibri" w:cs="Calibri"/>
                <w:kern w:val="0"/>
              </w:rPr>
            </w:pPr>
            <w:r>
              <w:rPr>
                <w:kern w:val="0"/>
              </w:rPr>
              <w:t>4</w:t>
            </w:r>
          </w:p>
        </w:tc>
        <w:tc>
          <w:tcPr>
            <w:tcW w:w="269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Calibri" w:hAnsi="Calibri" w:cs="Calibri"/>
                <w:kern w:val="0"/>
              </w:rPr>
            </w:pPr>
            <w:r>
              <w:rPr>
                <w:kern w:val="0"/>
              </w:rPr>
              <w:t>5</w:t>
            </w:r>
          </w:p>
        </w:tc>
        <w:tc>
          <w:tcPr>
            <w:tcW w:w="269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Calibri" w:hAnsi="Calibri" w:cs="Calibri"/>
                <w:kern w:val="0"/>
              </w:rPr>
            </w:pPr>
            <w:r>
              <w:rPr>
                <w:kern w:val="0"/>
              </w:rPr>
              <w:t>……</w:t>
            </w:r>
          </w:p>
        </w:tc>
        <w:tc>
          <w:tcPr>
            <w:tcW w:w="269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pPr>
              <w:widowControl/>
              <w:snapToGrid w:val="0"/>
              <w:jc w:val="center"/>
              <w:rPr>
                <w:rFonts w:ascii="Calibri" w:hAnsi="Calibri" w:cs="Calibri"/>
                <w:kern w:val="0"/>
              </w:rPr>
            </w:pPr>
          </w:p>
        </w:tc>
      </w:tr>
    </w:tbl>
    <w:p>
      <w:pPr>
        <w:spacing w:before="156" w:beforeLines="50"/>
        <w:ind w:firstLine="420" w:firstLineChars="200"/>
        <w:rPr>
          <w:rFonts w:ascii="Calibri" w:hAnsi="Calibri" w:cs="Calibri"/>
          <w:szCs w:val="21"/>
        </w:rPr>
      </w:pPr>
      <w:r>
        <w:rPr>
          <w:rFonts w:hint="eastAsia" w:ascii="宋体" w:hAnsi="宋体"/>
        </w:rPr>
        <w:t>参选人保证：响应比选人要求的全部内容，无商务和技术偏差。</w:t>
      </w: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rPr>
          <w:rFonts w:ascii="仿宋" w:hAnsi="仿宋" w:eastAsia="仿宋"/>
          <w:kern w:val="0"/>
          <w:sz w:val="28"/>
          <w:szCs w:val="28"/>
        </w:rPr>
      </w:pPr>
      <w:r>
        <w:rPr>
          <w:rFonts w:hint="eastAsia" w:ascii="仿宋" w:hAnsi="仿宋" w:eastAsia="仿宋"/>
          <w:kern w:val="0"/>
          <w:sz w:val="28"/>
          <w:szCs w:val="28"/>
        </w:rPr>
        <w:t xml:space="preserve"> </w:t>
      </w: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pPr>
        <w:widowControl/>
        <w:spacing w:line="480" w:lineRule="exact"/>
        <w:rPr>
          <w:rFonts w:ascii="仿宋" w:hAnsi="仿宋" w:eastAsia="仿宋"/>
          <w:kern w:val="0"/>
          <w:sz w:val="28"/>
          <w:szCs w:val="28"/>
        </w:rPr>
      </w:pPr>
      <w:r>
        <w:rPr>
          <w:rFonts w:hint="eastAsia" w:ascii="仿宋" w:hAnsi="仿宋" w:eastAsia="仿宋"/>
          <w:kern w:val="0"/>
          <w:sz w:val="28"/>
          <w:szCs w:val="28"/>
        </w:rPr>
        <w:t xml:space="preserve"> </w:t>
      </w:r>
    </w:p>
    <w:p>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pPr>
        <w:rPr>
          <w:szCs w:val="21"/>
        </w:rPr>
      </w:pPr>
      <w:r>
        <w:t xml:space="preserve"> </w:t>
      </w:r>
    </w:p>
    <w:p>
      <w:pPr>
        <w:pStyle w:val="15"/>
        <w:ind w:firstLine="400"/>
      </w:pPr>
      <w:r>
        <w:rPr>
          <w:rFonts w:hint="eastAsia"/>
        </w:rPr>
        <w:t xml:space="preserve"> </w:t>
      </w:r>
    </w:p>
    <w:p>
      <w:pPr>
        <w:spacing w:line="480" w:lineRule="exact"/>
        <w:ind w:firstLine="3570" w:firstLineChars="1700"/>
      </w:pPr>
    </w:p>
    <w:p>
      <w:pPr>
        <w:spacing w:line="600" w:lineRule="auto"/>
        <w:jc w:val="left"/>
      </w:pPr>
    </w:p>
    <w:p>
      <w:pPr>
        <w:spacing w:line="600" w:lineRule="auto"/>
        <w:jc w:val="left"/>
      </w:pPr>
    </w:p>
    <w:p>
      <w:pPr>
        <w:widowControl/>
        <w:jc w:val="left"/>
        <w:rPr>
          <w:rFonts w:ascii="Calibri" w:hAnsi="Calibri" w:eastAsia="微软雅黑"/>
          <w:bCs/>
          <w:kern w:val="44"/>
          <w:sz w:val="44"/>
          <w:szCs w:val="44"/>
        </w:rPr>
      </w:pPr>
      <w:r>
        <w:rPr>
          <w:rFonts w:ascii="Calibri" w:hAnsi="Calibri" w:eastAsia="微软雅黑"/>
          <w:bCs/>
          <w:kern w:val="44"/>
          <w:sz w:val="44"/>
          <w:szCs w:val="44"/>
        </w:rPr>
        <w:br w:type="page"/>
      </w:r>
    </w:p>
    <w:p>
      <w:pPr>
        <w:adjustRightInd w:val="0"/>
        <w:snapToGrid w:val="0"/>
        <w:spacing w:line="560" w:lineRule="exact"/>
        <w:jc w:val="center"/>
      </w:pPr>
      <w:r>
        <w:rPr>
          <w:rFonts w:hint="eastAsia" w:ascii="Calibri" w:hAnsi="Calibri" w:eastAsia="微软雅黑"/>
          <w:bCs/>
          <w:kern w:val="44"/>
          <w:sz w:val="44"/>
          <w:szCs w:val="44"/>
        </w:rPr>
        <w:t>第四章  评标办法（综合评分法）</w:t>
      </w:r>
    </w:p>
    <w:tbl>
      <w:tblPr>
        <w:tblStyle w:val="20"/>
        <w:tblW w:w="945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1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对符合性评审、资格评审符合要求的参选单位进行综合评审，按照“综合评分法”的原则进行排名，综合评分得分最高的排名第一，依此类推。如综合评分得分完全一致，按现场签到的先后时间顺序确定中选候选人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67"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2"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2"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4"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4" w:hRule="atLeast"/>
          <w:jc w:val="center"/>
        </w:trPr>
        <w:tc>
          <w:tcPr>
            <w:tcW w:w="1096"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ascii="仿宋" w:hAnsi="仿宋" w:eastAsia="仿宋" w:cs="仿宋"/>
                <w:b/>
                <w:kern w:val="0"/>
                <w:szCs w:val="21"/>
              </w:rPr>
            </w:pPr>
            <w:r>
              <w:rPr>
                <w:rFonts w:hint="eastAsia" w:ascii="仿宋" w:hAnsi="仿宋" w:eastAsia="仿宋" w:cs="仿宋"/>
                <w:b/>
                <w:kern w:val="0"/>
                <w:szCs w:val="21"/>
              </w:rPr>
              <w:t>以上评审有一条不通过，则视为资格评审标准不通过，不进入下一步评审，应当否决其参选。</w:t>
            </w:r>
          </w:p>
          <w:p>
            <w:pPr>
              <w:widowControl/>
              <w:spacing w:line="360" w:lineRule="exact"/>
              <w:ind w:firstLine="422" w:firstLineChars="200"/>
              <w:rPr>
                <w:rFonts w:ascii="仿宋" w:hAnsi="仿宋" w:eastAsia="仿宋" w:cs="仿宋"/>
                <w:b/>
                <w:kern w:val="0"/>
                <w:szCs w:val="21"/>
              </w:rPr>
            </w:pPr>
          </w:p>
          <w:p>
            <w:pPr>
              <w:widowControl/>
              <w:spacing w:line="360" w:lineRule="exact"/>
              <w:ind w:firstLine="422" w:firstLineChars="200"/>
              <w:rPr>
                <w:rFonts w:ascii="仿宋" w:hAnsi="仿宋" w:eastAsia="仿宋" w:cs="仿宋"/>
                <w:b/>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48"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b/>
                <w:bCs/>
                <w:spacing w:val="8"/>
                <w:sz w:val="24"/>
              </w:rPr>
              <w:t>评审因素及权值</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r>
              <w:rPr>
                <w:rFonts w:hint="eastAsia" w:ascii="仿宋" w:hAnsi="仿宋" w:eastAsia="仿宋" w:cs="仿宋"/>
                <w:b/>
                <w:bCs/>
                <w:spacing w:val="6"/>
                <w:sz w:val="24"/>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506" w:firstLineChars="200"/>
              <w:jc w:val="center"/>
              <w:rPr>
                <w:rFonts w:ascii="仿宋" w:hAnsi="仿宋" w:eastAsia="仿宋" w:cs="仿宋"/>
                <w:kern w:val="0"/>
                <w:szCs w:val="21"/>
              </w:rPr>
            </w:pPr>
            <w:r>
              <w:rPr>
                <w:rFonts w:hint="eastAsia" w:ascii="仿宋" w:hAnsi="仿宋" w:eastAsia="仿宋" w:cs="仿宋"/>
                <w:b/>
                <w:bCs/>
                <w:spacing w:val="6"/>
                <w:sz w:val="24"/>
              </w:rPr>
              <w:t>权值范围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31"/>
              <w:spacing w:before="128" w:line="228" w:lineRule="auto"/>
              <w:ind w:firstLine="508" w:firstLineChars="200"/>
              <w:rPr>
                <w:rFonts w:ascii="仿宋" w:hAnsi="仿宋" w:eastAsia="仿宋" w:cs="仿宋"/>
                <w:b/>
                <w:bCs/>
                <w:spacing w:val="6"/>
                <w:sz w:val="24"/>
                <w:szCs w:val="24"/>
              </w:rPr>
            </w:pPr>
            <w:r>
              <w:rPr>
                <w:rFonts w:hint="eastAsia" w:ascii="仿宋" w:hAnsi="仿宋" w:eastAsia="仿宋" w:cs="仿宋"/>
                <w:spacing w:val="7"/>
                <w:sz w:val="24"/>
                <w:szCs w:val="24"/>
              </w:rPr>
              <w:t>技术部分</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 w:hAnsi="仿宋" w:eastAsia="仿宋" w:cs="仿宋"/>
                <w:spacing w:val="6"/>
                <w:sz w:val="24"/>
              </w:rPr>
            </w:pPr>
            <w:r>
              <w:rPr>
                <w:rFonts w:hint="eastAsia" w:ascii="仿宋" w:hAnsi="仿宋" w:eastAsia="仿宋" w:cs="仿宋"/>
                <w:spacing w:val="7"/>
                <w:sz w:val="24"/>
                <w:lang w:eastAsia="en-US"/>
              </w:rPr>
              <w:t>0.</w:t>
            </w:r>
            <w:r>
              <w:rPr>
                <w:rFonts w:hint="eastAsia" w:ascii="仿宋" w:hAnsi="仿宋" w:eastAsia="仿宋" w:cs="仿宋"/>
                <w:spacing w:val="7"/>
                <w:sz w:val="24"/>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31"/>
              <w:spacing w:before="128" w:line="228" w:lineRule="auto"/>
              <w:ind w:firstLine="504" w:firstLineChars="200"/>
              <w:rPr>
                <w:rFonts w:ascii="仿宋" w:hAnsi="仿宋" w:eastAsia="仿宋" w:cs="仿宋"/>
                <w:b/>
                <w:bCs/>
                <w:spacing w:val="6"/>
                <w:sz w:val="24"/>
                <w:szCs w:val="24"/>
              </w:rPr>
            </w:pPr>
            <w:r>
              <w:rPr>
                <w:rFonts w:hint="eastAsia" w:ascii="仿宋" w:hAnsi="仿宋" w:eastAsia="仿宋" w:cs="仿宋"/>
                <w:spacing w:val="6"/>
                <w:sz w:val="24"/>
                <w:szCs w:val="24"/>
              </w:rPr>
              <w:t>商务部分</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 w:hAnsi="仿宋" w:eastAsia="仿宋" w:cs="仿宋"/>
                <w:spacing w:val="6"/>
                <w:sz w:val="24"/>
              </w:rPr>
            </w:pPr>
            <w:r>
              <w:rPr>
                <w:rFonts w:hint="eastAsia" w:ascii="仿宋" w:hAnsi="仿宋" w:eastAsia="仿宋" w:cs="仿宋"/>
                <w:spacing w:val="7"/>
                <w:sz w:val="24"/>
                <w:lang w:eastAsia="en-US"/>
              </w:rPr>
              <w:t>0.</w:t>
            </w:r>
            <w:r>
              <w:rPr>
                <w:rFonts w:hint="eastAsia" w:ascii="仿宋" w:hAnsi="仿宋" w:eastAsia="仿宋" w:cs="仿宋"/>
                <w:spacing w:val="7"/>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31"/>
              <w:spacing w:before="129" w:line="226" w:lineRule="auto"/>
              <w:ind w:firstLine="508" w:firstLineChars="200"/>
              <w:rPr>
                <w:rFonts w:ascii="仿宋" w:hAnsi="仿宋" w:eastAsia="仿宋" w:cs="仿宋"/>
                <w:b/>
                <w:bCs/>
                <w:spacing w:val="6"/>
                <w:sz w:val="24"/>
                <w:szCs w:val="24"/>
              </w:rPr>
            </w:pPr>
            <w:r>
              <w:rPr>
                <w:rFonts w:hint="eastAsia" w:ascii="仿宋" w:hAnsi="仿宋" w:eastAsia="仿宋" w:cs="仿宋"/>
                <w:spacing w:val="7"/>
                <w:sz w:val="24"/>
                <w:szCs w:val="24"/>
              </w:rPr>
              <w:t>价格部分</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 w:hAnsi="仿宋" w:eastAsia="仿宋" w:cs="仿宋"/>
                <w:spacing w:val="6"/>
                <w:sz w:val="24"/>
              </w:rPr>
            </w:pPr>
            <w:r>
              <w:rPr>
                <w:rFonts w:hint="eastAsia" w:ascii="仿宋" w:hAnsi="仿宋" w:eastAsia="仿宋" w:cs="仿宋"/>
                <w:spacing w:val="7"/>
                <w:sz w:val="24"/>
                <w:lang w:eastAsia="en-US"/>
              </w:rPr>
              <w:t>0</w:t>
            </w:r>
            <w:r>
              <w:rPr>
                <w:rFonts w:hint="eastAsia" w:ascii="仿宋" w:hAnsi="仿宋" w:eastAsia="仿宋" w:cs="仿宋"/>
                <w:spacing w:val="7"/>
                <w:sz w:val="24"/>
              </w:rPr>
              <w:t>.3</w:t>
            </w:r>
          </w:p>
        </w:tc>
      </w:tr>
    </w:tbl>
    <w:p>
      <w:pPr>
        <w:adjustRightInd w:val="0"/>
        <w:snapToGrid w:val="0"/>
        <w:spacing w:line="560" w:lineRule="exact"/>
        <w:rPr>
          <w:rFonts w:ascii="Calibri" w:hAnsi="Calibri" w:eastAsia="微软雅黑"/>
          <w:bCs/>
          <w:kern w:val="44"/>
          <w:sz w:val="44"/>
          <w:szCs w:val="44"/>
        </w:rPr>
      </w:pPr>
    </w:p>
    <w:tbl>
      <w:tblPr>
        <w:tblStyle w:val="30"/>
        <w:tblW w:w="9525" w:type="dxa"/>
        <w:tblInd w:w="-5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0"/>
        <w:gridCol w:w="975"/>
        <w:gridCol w:w="945"/>
        <w:gridCol w:w="66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67" w:hRule="atLeast"/>
        </w:trPr>
        <w:tc>
          <w:tcPr>
            <w:tcW w:w="9525" w:type="dxa"/>
            <w:gridSpan w:val="4"/>
            <w:tcBorders>
              <w:tl2br w:val="nil"/>
              <w:tr2bl w:val="nil"/>
            </w:tcBorders>
            <w:vAlign w:val="center"/>
          </w:tcPr>
          <w:p>
            <w:pPr>
              <w:pStyle w:val="31"/>
              <w:spacing w:before="129" w:line="228" w:lineRule="auto"/>
              <w:ind w:left="3841"/>
              <w:rPr>
                <w:rFonts w:ascii="仿宋" w:hAnsi="仿宋" w:eastAsia="仿宋" w:cs="仿宋"/>
                <w:color w:val="auto"/>
                <w:sz w:val="24"/>
                <w:szCs w:val="24"/>
              </w:rPr>
            </w:pPr>
            <w:r>
              <w:rPr>
                <w:rFonts w:hint="eastAsia" w:ascii="仿宋" w:hAnsi="仿宋" w:eastAsia="仿宋" w:cs="仿宋"/>
                <w:b/>
                <w:bCs/>
                <w:color w:val="auto"/>
                <w:spacing w:val="7"/>
                <w:sz w:val="24"/>
                <w:szCs w:val="24"/>
              </w:rPr>
              <w:t>综合评分表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930" w:type="dxa"/>
            <w:tcBorders>
              <w:tl2br w:val="nil"/>
              <w:tr2bl w:val="nil"/>
            </w:tcBorders>
          </w:tcPr>
          <w:p>
            <w:pPr>
              <w:pStyle w:val="31"/>
              <w:widowControl/>
              <w:topLinePunct/>
              <w:autoSpaceDE w:val="0"/>
              <w:adjustRightInd w:val="0"/>
              <w:snapToGrid w:val="0"/>
              <w:spacing w:before="129" w:line="239" w:lineRule="auto"/>
              <w:ind w:left="166" w:right="146" w:hanging="17"/>
              <w:textAlignment w:val="baseline"/>
              <w:rPr>
                <w:rFonts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评审因素</w:t>
            </w:r>
          </w:p>
        </w:tc>
        <w:tc>
          <w:tcPr>
            <w:tcW w:w="975" w:type="dxa"/>
            <w:tcBorders>
              <w:tl2br w:val="nil"/>
              <w:tr2bl w:val="nil"/>
            </w:tcBorders>
          </w:tcPr>
          <w:p>
            <w:pPr>
              <w:pStyle w:val="31"/>
              <w:widowControl/>
              <w:topLinePunct/>
              <w:autoSpaceDE w:val="0"/>
              <w:adjustRightInd w:val="0"/>
              <w:snapToGrid w:val="0"/>
              <w:spacing w:before="129" w:line="239" w:lineRule="auto"/>
              <w:ind w:left="167" w:right="150" w:hanging="16"/>
              <w:textAlignment w:val="baseline"/>
              <w:rPr>
                <w:rFonts w:ascii="仿宋" w:hAnsi="仿宋" w:eastAsia="仿宋" w:cs="仿宋"/>
                <w:b/>
                <w:bCs/>
                <w:color w:val="auto"/>
                <w:sz w:val="24"/>
                <w:szCs w:val="24"/>
                <w:lang w:eastAsia="zh-CN"/>
              </w:rPr>
            </w:pPr>
            <w:r>
              <w:rPr>
                <w:rFonts w:hint="eastAsia" w:ascii="仿宋" w:hAnsi="仿宋" w:eastAsia="仿宋" w:cs="仿宋"/>
                <w:b/>
                <w:bCs/>
                <w:color w:val="auto"/>
                <w:spacing w:val="4"/>
                <w:sz w:val="24"/>
                <w:szCs w:val="24"/>
                <w:lang w:eastAsia="zh-CN"/>
              </w:rPr>
              <w:t>计分因素</w:t>
            </w:r>
          </w:p>
        </w:tc>
        <w:tc>
          <w:tcPr>
            <w:tcW w:w="945" w:type="dxa"/>
            <w:tcBorders>
              <w:tl2br w:val="nil"/>
              <w:tr2bl w:val="nil"/>
            </w:tcBorders>
          </w:tcPr>
          <w:p>
            <w:pPr>
              <w:pStyle w:val="31"/>
              <w:widowControl/>
              <w:topLinePunct/>
              <w:autoSpaceDE w:val="0"/>
              <w:adjustRightInd w:val="0"/>
              <w:snapToGrid w:val="0"/>
              <w:spacing w:before="263" w:line="228" w:lineRule="auto"/>
              <w:ind w:left="167"/>
              <w:textAlignment w:val="baseline"/>
              <w:rPr>
                <w:rFonts w:ascii="仿宋" w:hAnsi="仿宋" w:eastAsia="仿宋" w:cs="仿宋"/>
                <w:b/>
                <w:bCs/>
                <w:color w:val="auto"/>
                <w:sz w:val="24"/>
                <w:szCs w:val="24"/>
              </w:rPr>
            </w:pPr>
            <w:r>
              <w:rPr>
                <w:rFonts w:hint="eastAsia" w:ascii="仿宋" w:hAnsi="仿宋" w:eastAsia="仿宋" w:cs="仿宋"/>
                <w:b/>
                <w:bCs/>
                <w:color w:val="auto"/>
                <w:spacing w:val="3"/>
                <w:sz w:val="24"/>
                <w:szCs w:val="24"/>
              </w:rPr>
              <w:t>分值</w:t>
            </w:r>
          </w:p>
        </w:tc>
        <w:tc>
          <w:tcPr>
            <w:tcW w:w="6675" w:type="dxa"/>
            <w:tcBorders>
              <w:tl2br w:val="nil"/>
              <w:tr2bl w:val="nil"/>
            </w:tcBorders>
          </w:tcPr>
          <w:p>
            <w:pPr>
              <w:pStyle w:val="31"/>
              <w:widowControl/>
              <w:topLinePunct/>
              <w:autoSpaceDE w:val="0"/>
              <w:adjustRightInd w:val="0"/>
              <w:snapToGrid w:val="0"/>
              <w:spacing w:before="264" w:line="228" w:lineRule="auto"/>
              <w:ind w:left="2861"/>
              <w:textAlignment w:val="baseline"/>
              <w:rPr>
                <w:rFonts w:ascii="仿宋" w:hAnsi="仿宋" w:eastAsia="仿宋" w:cs="仿宋"/>
                <w:b/>
                <w:bCs/>
                <w:color w:val="auto"/>
                <w:sz w:val="24"/>
                <w:szCs w:val="24"/>
              </w:rPr>
            </w:pPr>
            <w:r>
              <w:rPr>
                <w:rFonts w:hint="eastAsia" w:ascii="仿宋" w:hAnsi="仿宋" w:eastAsia="仿宋" w:cs="仿宋"/>
                <w:b/>
                <w:bCs/>
                <w:color w:val="auto"/>
                <w:spacing w:val="7"/>
                <w:sz w:val="24"/>
                <w:szCs w:val="24"/>
              </w:rPr>
              <w:t>计分标准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772" w:hRule="atLeast"/>
        </w:trPr>
        <w:tc>
          <w:tcPr>
            <w:tcW w:w="930" w:type="dxa"/>
            <w:vMerge w:val="restart"/>
            <w:tcBorders>
              <w:tl2br w:val="nil"/>
              <w:tr2bl w:val="nil"/>
            </w:tcBorders>
            <w:vAlign w:val="center"/>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r>
              <w:rPr>
                <w:rFonts w:hint="eastAsia" w:ascii="仿宋" w:hAnsi="仿宋" w:eastAsia="仿宋" w:cs="仿宋"/>
                <w:color w:val="auto"/>
                <w:spacing w:val="-5"/>
                <w:sz w:val="24"/>
                <w:szCs w:val="24"/>
              </w:rPr>
              <w:t>技术 部分 (</w:t>
            </w:r>
            <w:r>
              <w:rPr>
                <w:rFonts w:hint="eastAsia" w:ascii="仿宋" w:hAnsi="仿宋" w:eastAsia="仿宋" w:cs="仿宋"/>
                <w:color w:val="auto"/>
                <w:spacing w:val="-5"/>
                <w:sz w:val="24"/>
                <w:szCs w:val="24"/>
                <w:lang w:eastAsia="zh-CN"/>
              </w:rPr>
              <w:t>40分</w:t>
            </w:r>
            <w:r>
              <w:rPr>
                <w:rFonts w:hint="eastAsia" w:ascii="仿宋" w:hAnsi="仿宋" w:eastAsia="仿宋" w:cs="仿宋"/>
                <w:color w:val="auto"/>
                <w:spacing w:val="-5"/>
                <w:sz w:val="24"/>
                <w:szCs w:val="24"/>
              </w:rPr>
              <w:t>)</w:t>
            </w:r>
          </w:p>
        </w:tc>
        <w:tc>
          <w:tcPr>
            <w:tcW w:w="975" w:type="dxa"/>
            <w:vMerge w:val="restart"/>
            <w:tcBorders>
              <w:tl2br w:val="nil"/>
              <w:tr2bl w:val="nil"/>
            </w:tcBorders>
          </w:tcPr>
          <w:p>
            <w:pPr>
              <w:pStyle w:val="31"/>
              <w:widowControl/>
              <w:topLinePunct/>
              <w:autoSpaceDE w:val="0"/>
              <w:adjustRightInd w:val="0"/>
              <w:snapToGrid w:val="0"/>
              <w:spacing w:before="266" w:line="244" w:lineRule="auto"/>
              <w:ind w:right="188"/>
              <w:textAlignment w:val="baseline"/>
              <w:rPr>
                <w:rFonts w:ascii="仿宋" w:hAnsi="仿宋" w:eastAsia="仿宋" w:cs="仿宋"/>
                <w:color w:val="auto"/>
                <w:spacing w:val="-5"/>
                <w:sz w:val="24"/>
                <w:szCs w:val="24"/>
              </w:rPr>
            </w:pPr>
          </w:p>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p>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p>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p>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p>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r>
              <w:rPr>
                <w:rFonts w:hint="eastAsia" w:ascii="仿宋" w:hAnsi="仿宋" w:eastAsia="仿宋" w:cs="仿宋"/>
                <w:color w:val="auto"/>
                <w:spacing w:val="-5"/>
                <w:sz w:val="24"/>
                <w:szCs w:val="24"/>
              </w:rPr>
              <w:t>服务 方案</w:t>
            </w:r>
          </w:p>
        </w:tc>
        <w:tc>
          <w:tcPr>
            <w:tcW w:w="945" w:type="dxa"/>
            <w:tcBorders>
              <w:tl2br w:val="nil"/>
              <w:tr2bl w:val="nil"/>
            </w:tcBorders>
            <w:vAlign w:val="center"/>
          </w:tcPr>
          <w:p>
            <w:pPr>
              <w:pStyle w:val="31"/>
              <w:widowControl/>
              <w:topLinePunct/>
              <w:autoSpaceDE w:val="0"/>
              <w:adjustRightInd w:val="0"/>
              <w:snapToGrid w:val="0"/>
              <w:spacing w:before="266" w:line="244" w:lineRule="auto"/>
              <w:ind w:right="188"/>
              <w:jc w:val="center"/>
              <w:textAlignment w:val="baseline"/>
              <w:rPr>
                <w:rFonts w:ascii="仿宋" w:hAnsi="仿宋" w:eastAsia="仿宋" w:cs="仿宋"/>
                <w:color w:val="auto"/>
                <w:spacing w:val="-5"/>
                <w:sz w:val="24"/>
                <w:szCs w:val="24"/>
                <w:lang w:eastAsia="zh-CN"/>
              </w:rPr>
            </w:pPr>
            <w:r>
              <w:rPr>
                <w:rFonts w:hint="eastAsia" w:ascii="仿宋" w:hAnsi="仿宋" w:eastAsia="仿宋" w:cs="仿宋"/>
                <w:color w:val="auto"/>
                <w:spacing w:val="-5"/>
                <w:sz w:val="24"/>
                <w:szCs w:val="24"/>
                <w:lang w:eastAsia="zh-CN"/>
              </w:rPr>
              <w:t>10分</w:t>
            </w:r>
          </w:p>
        </w:tc>
        <w:tc>
          <w:tcPr>
            <w:tcW w:w="6675" w:type="dxa"/>
            <w:tcBorders>
              <w:tl2br w:val="nil"/>
              <w:tr2bl w:val="nil"/>
            </w:tcBorders>
          </w:tcPr>
          <w:p>
            <w:pPr>
              <w:adjustRightInd w:val="0"/>
              <w:snapToGrid w:val="0"/>
              <w:jc w:val="left"/>
              <w:rPr>
                <w:rFonts w:ascii="仿宋" w:hAnsi="仿宋" w:eastAsia="仿宋" w:cs="仿宋"/>
                <w:color w:val="auto"/>
                <w:sz w:val="24"/>
              </w:rPr>
            </w:pPr>
            <w:r>
              <w:rPr>
                <w:rFonts w:hint="eastAsia" w:ascii="仿宋" w:hAnsi="仿宋" w:eastAsia="仿宋" w:cs="仿宋"/>
                <w:color w:val="auto"/>
                <w:spacing w:val="9"/>
                <w:sz w:val="24"/>
              </w:rPr>
              <w:t>参选单位详细阐述本单位能够承担</w:t>
            </w:r>
            <w:r>
              <w:rPr>
                <w:rFonts w:hint="eastAsia" w:ascii="仿宋" w:hAnsi="仿宋" w:eastAsia="仿宋" w:cs="仿宋"/>
                <w:color w:val="auto"/>
                <w:sz w:val="24"/>
              </w:rPr>
              <w:t>衡阳建湘柴油机厂等5个老旧厂区改造项目可研技术咨询服务</w:t>
            </w:r>
            <w:r>
              <w:rPr>
                <w:rFonts w:hint="eastAsia" w:ascii="仿宋" w:hAnsi="仿宋" w:eastAsia="仿宋" w:cs="仿宋"/>
                <w:color w:val="auto"/>
                <w:spacing w:val="9"/>
                <w:sz w:val="24"/>
              </w:rPr>
              <w:t>相关工作的能力。项目管理组织架构合理、公司综合实力强的计8-10分；项目管理组织架构一般、公司综合实力一般的计5-7分；项目管理组织架构不合理、公司综合实力差的计1-4分，本项最高10分。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89" w:hRule="atLeast"/>
        </w:trPr>
        <w:tc>
          <w:tcPr>
            <w:tcW w:w="930" w:type="dxa"/>
            <w:vMerge w:val="continue"/>
            <w:tcBorders>
              <w:tl2br w:val="nil"/>
              <w:tr2bl w:val="nil"/>
            </w:tcBorders>
            <w:vAlign w:val="center"/>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lang w:eastAsia="zh-CN"/>
              </w:rPr>
            </w:pPr>
          </w:p>
        </w:tc>
        <w:tc>
          <w:tcPr>
            <w:tcW w:w="975" w:type="dxa"/>
            <w:vMerge w:val="continue"/>
            <w:tcBorders>
              <w:tl2br w:val="nil"/>
              <w:tr2bl w:val="nil"/>
            </w:tcBorders>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lang w:eastAsia="zh-CN"/>
              </w:rPr>
            </w:pPr>
          </w:p>
        </w:tc>
        <w:tc>
          <w:tcPr>
            <w:tcW w:w="945" w:type="dxa"/>
            <w:tcBorders>
              <w:tl2br w:val="nil"/>
              <w:tr2bl w:val="nil"/>
            </w:tcBorders>
            <w:vAlign w:val="center"/>
          </w:tcPr>
          <w:p>
            <w:pPr>
              <w:pStyle w:val="31"/>
              <w:widowControl/>
              <w:topLinePunct/>
              <w:autoSpaceDE w:val="0"/>
              <w:adjustRightInd w:val="0"/>
              <w:snapToGrid w:val="0"/>
              <w:spacing w:before="266" w:line="244" w:lineRule="auto"/>
              <w:ind w:right="188"/>
              <w:jc w:val="center"/>
              <w:textAlignment w:val="baseline"/>
              <w:rPr>
                <w:rFonts w:ascii="仿宋" w:hAnsi="仿宋" w:eastAsia="仿宋" w:cs="仿宋"/>
                <w:color w:val="auto"/>
                <w:spacing w:val="-5"/>
                <w:sz w:val="24"/>
                <w:szCs w:val="24"/>
                <w:lang w:eastAsia="zh-CN"/>
              </w:rPr>
            </w:pPr>
            <w:r>
              <w:rPr>
                <w:rFonts w:hint="eastAsia" w:ascii="仿宋" w:hAnsi="仿宋" w:eastAsia="仿宋" w:cs="仿宋"/>
                <w:color w:val="auto"/>
                <w:spacing w:val="-5"/>
                <w:sz w:val="24"/>
                <w:szCs w:val="24"/>
                <w:lang w:eastAsia="zh-CN"/>
              </w:rPr>
              <w:t>10分</w:t>
            </w:r>
          </w:p>
        </w:tc>
        <w:tc>
          <w:tcPr>
            <w:tcW w:w="6675" w:type="dxa"/>
            <w:tcBorders>
              <w:tl2br w:val="nil"/>
              <w:tr2bl w:val="nil"/>
            </w:tcBorders>
          </w:tcPr>
          <w:p>
            <w:pPr>
              <w:pStyle w:val="31"/>
              <w:widowControl/>
              <w:topLinePunct/>
              <w:autoSpaceDE w:val="0"/>
              <w:adjustRightInd w:val="0"/>
              <w:snapToGrid w:val="0"/>
              <w:spacing w:before="129" w:line="248" w:lineRule="auto"/>
              <w:ind w:left="111" w:right="139"/>
              <w:textAlignment w:val="baseline"/>
              <w:rPr>
                <w:rFonts w:ascii="仿宋" w:hAnsi="仿宋" w:eastAsia="仿宋" w:cs="仿宋"/>
                <w:color w:val="auto"/>
                <w:spacing w:val="9"/>
                <w:sz w:val="24"/>
                <w:szCs w:val="24"/>
                <w:lang w:eastAsia="zh-CN"/>
              </w:rPr>
            </w:pPr>
            <w:r>
              <w:rPr>
                <w:rFonts w:hint="eastAsia" w:ascii="仿宋" w:hAnsi="仿宋" w:eastAsia="仿宋" w:cs="仿宋"/>
                <w:color w:val="auto"/>
                <w:spacing w:val="9"/>
                <w:sz w:val="24"/>
                <w:szCs w:val="24"/>
                <w:lang w:eastAsia="zh-CN"/>
              </w:rPr>
              <w:t>本项目的工作方案。工作方案设计合理、操作性强的计8-10分；工作方案一般、操作性一般的计5-7分；工作方案不合理、操作性差的计1-4分，本项最高计10分。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469" w:hRule="atLeast"/>
        </w:trPr>
        <w:tc>
          <w:tcPr>
            <w:tcW w:w="930" w:type="dxa"/>
            <w:vMerge w:val="continue"/>
            <w:tcBorders>
              <w:tl2br w:val="nil"/>
              <w:tr2bl w:val="nil"/>
            </w:tcBorders>
            <w:vAlign w:val="center"/>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lang w:eastAsia="zh-CN"/>
              </w:rPr>
            </w:pPr>
          </w:p>
        </w:tc>
        <w:tc>
          <w:tcPr>
            <w:tcW w:w="975" w:type="dxa"/>
            <w:vMerge w:val="continue"/>
            <w:tcBorders>
              <w:tl2br w:val="nil"/>
              <w:tr2bl w:val="nil"/>
            </w:tcBorders>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lang w:eastAsia="zh-CN"/>
              </w:rPr>
            </w:pPr>
          </w:p>
        </w:tc>
        <w:tc>
          <w:tcPr>
            <w:tcW w:w="945" w:type="dxa"/>
            <w:tcBorders>
              <w:tl2br w:val="nil"/>
              <w:tr2bl w:val="nil"/>
            </w:tcBorders>
            <w:vAlign w:val="center"/>
          </w:tcPr>
          <w:p>
            <w:pPr>
              <w:pStyle w:val="31"/>
              <w:widowControl/>
              <w:topLinePunct/>
              <w:autoSpaceDE w:val="0"/>
              <w:adjustRightInd w:val="0"/>
              <w:snapToGrid w:val="0"/>
              <w:spacing w:before="266" w:line="244" w:lineRule="auto"/>
              <w:ind w:right="188"/>
              <w:jc w:val="center"/>
              <w:textAlignment w:val="baseline"/>
              <w:rPr>
                <w:rFonts w:ascii="仿宋" w:hAnsi="仿宋" w:eastAsia="仿宋" w:cs="仿宋"/>
                <w:color w:val="auto"/>
                <w:spacing w:val="-5"/>
                <w:sz w:val="24"/>
                <w:szCs w:val="24"/>
                <w:lang w:eastAsia="zh-CN"/>
              </w:rPr>
            </w:pPr>
            <w:r>
              <w:rPr>
                <w:rFonts w:hint="eastAsia" w:ascii="仿宋" w:hAnsi="仿宋" w:eastAsia="仿宋" w:cs="仿宋"/>
                <w:color w:val="auto"/>
                <w:spacing w:val="-5"/>
                <w:sz w:val="24"/>
                <w:szCs w:val="24"/>
                <w:lang w:eastAsia="zh-CN"/>
              </w:rPr>
              <w:t>10分</w:t>
            </w:r>
          </w:p>
        </w:tc>
        <w:tc>
          <w:tcPr>
            <w:tcW w:w="6675" w:type="dxa"/>
            <w:tcBorders>
              <w:tl2br w:val="nil"/>
              <w:tr2bl w:val="nil"/>
            </w:tcBorders>
          </w:tcPr>
          <w:p>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color w:val="auto"/>
                <w:spacing w:val="9"/>
                <w:sz w:val="24"/>
                <w:szCs w:val="24"/>
                <w:lang w:eastAsia="zh-CN"/>
              </w:rPr>
            </w:pPr>
            <w:r>
              <w:rPr>
                <w:rFonts w:hint="eastAsia" w:ascii="仿宋" w:hAnsi="仿宋" w:eastAsia="仿宋" w:cs="仿宋"/>
                <w:color w:val="auto"/>
                <w:spacing w:val="9"/>
                <w:sz w:val="24"/>
                <w:szCs w:val="24"/>
                <w:lang w:eastAsia="zh-CN"/>
              </w:rPr>
              <w:t>项目进度保障措施。项目进度保障措施合理、可操作性强的计8-10分；项目进度保障措施一般、可操作性一般的计5-7分；项目进度保障措施不合理、可操作性差的计1-4分。本项最高计10分。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55" w:hRule="atLeast"/>
        </w:trPr>
        <w:tc>
          <w:tcPr>
            <w:tcW w:w="930" w:type="dxa"/>
            <w:vMerge w:val="continue"/>
            <w:tcBorders>
              <w:tl2br w:val="nil"/>
              <w:tr2bl w:val="nil"/>
            </w:tcBorders>
            <w:vAlign w:val="center"/>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p>
        </w:tc>
        <w:tc>
          <w:tcPr>
            <w:tcW w:w="975" w:type="dxa"/>
            <w:vMerge w:val="continue"/>
            <w:tcBorders>
              <w:tl2br w:val="nil"/>
              <w:tr2bl w:val="nil"/>
            </w:tcBorders>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p>
        </w:tc>
        <w:tc>
          <w:tcPr>
            <w:tcW w:w="945" w:type="dxa"/>
            <w:tcBorders>
              <w:tl2br w:val="nil"/>
              <w:tr2bl w:val="nil"/>
            </w:tcBorders>
            <w:vAlign w:val="center"/>
          </w:tcPr>
          <w:p>
            <w:pPr>
              <w:pStyle w:val="31"/>
              <w:widowControl/>
              <w:topLinePunct/>
              <w:autoSpaceDE w:val="0"/>
              <w:adjustRightInd w:val="0"/>
              <w:snapToGrid w:val="0"/>
              <w:spacing w:before="266" w:line="244" w:lineRule="auto"/>
              <w:ind w:right="188"/>
              <w:jc w:val="center"/>
              <w:textAlignment w:val="baseline"/>
              <w:rPr>
                <w:rFonts w:ascii="仿宋" w:hAnsi="仿宋" w:eastAsia="仿宋" w:cs="仿宋"/>
                <w:color w:val="auto"/>
                <w:spacing w:val="-5"/>
                <w:sz w:val="24"/>
                <w:szCs w:val="24"/>
                <w:lang w:eastAsia="zh-CN"/>
              </w:rPr>
            </w:pPr>
            <w:r>
              <w:rPr>
                <w:rFonts w:hint="eastAsia" w:ascii="仿宋" w:hAnsi="仿宋" w:eastAsia="仿宋" w:cs="仿宋"/>
                <w:color w:val="auto"/>
                <w:spacing w:val="-5"/>
                <w:sz w:val="24"/>
                <w:szCs w:val="24"/>
                <w:lang w:eastAsia="zh-CN"/>
              </w:rPr>
              <w:t>10分</w:t>
            </w:r>
          </w:p>
        </w:tc>
        <w:tc>
          <w:tcPr>
            <w:tcW w:w="6675" w:type="dxa"/>
            <w:tcBorders>
              <w:tl2br w:val="nil"/>
              <w:tr2bl w:val="nil"/>
            </w:tcBorders>
          </w:tcPr>
          <w:p>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color w:val="auto"/>
                <w:spacing w:val="9"/>
                <w:sz w:val="24"/>
                <w:szCs w:val="24"/>
                <w:lang w:eastAsia="zh-CN"/>
              </w:rPr>
            </w:pPr>
            <w:r>
              <w:rPr>
                <w:rFonts w:hint="eastAsia" w:ascii="仿宋" w:hAnsi="仿宋" w:eastAsia="仿宋" w:cs="仿宋"/>
                <w:color w:val="auto"/>
                <w:spacing w:val="9"/>
                <w:sz w:val="24"/>
                <w:szCs w:val="24"/>
                <w:lang w:eastAsia="zh-CN"/>
              </w:rPr>
              <w:t>重点和难点分析及解决措施。对本项目重点和难点分析准确、解决措施合理，可操作性强的计8-10分；重点难点分析不够全面、解决措施不完整、可操作性一般的计5-7分；重点难点分析不完全符合、解决措施不合理，可操作性差的计1-4分，本项最高计10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443" w:hRule="atLeast"/>
        </w:trPr>
        <w:tc>
          <w:tcPr>
            <w:tcW w:w="930" w:type="dxa"/>
            <w:vMerge w:val="restart"/>
            <w:tcBorders>
              <w:tl2br w:val="nil"/>
              <w:tr2bl w:val="nil"/>
            </w:tcBorders>
            <w:vAlign w:val="center"/>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r>
              <w:rPr>
                <w:rFonts w:hint="eastAsia" w:ascii="仿宋" w:hAnsi="仿宋" w:eastAsia="仿宋" w:cs="仿宋"/>
                <w:color w:val="auto"/>
                <w:spacing w:val="-5"/>
                <w:sz w:val="24"/>
                <w:szCs w:val="24"/>
              </w:rPr>
              <w:t>商务 部分 (</w:t>
            </w:r>
            <w:r>
              <w:rPr>
                <w:rFonts w:hint="eastAsia" w:ascii="仿宋" w:hAnsi="仿宋" w:eastAsia="仿宋" w:cs="仿宋"/>
                <w:color w:val="auto"/>
                <w:spacing w:val="-5"/>
                <w:sz w:val="24"/>
                <w:szCs w:val="24"/>
                <w:lang w:eastAsia="zh-CN"/>
              </w:rPr>
              <w:t>30分</w:t>
            </w:r>
            <w:r>
              <w:rPr>
                <w:rFonts w:hint="eastAsia" w:ascii="仿宋" w:hAnsi="仿宋" w:eastAsia="仿宋" w:cs="仿宋"/>
                <w:color w:val="auto"/>
                <w:spacing w:val="-5"/>
                <w:sz w:val="24"/>
                <w:szCs w:val="24"/>
              </w:rPr>
              <w:t>)</w:t>
            </w:r>
          </w:p>
        </w:tc>
        <w:tc>
          <w:tcPr>
            <w:tcW w:w="975" w:type="dxa"/>
            <w:tcBorders>
              <w:tl2br w:val="nil"/>
              <w:tr2bl w:val="nil"/>
            </w:tcBorders>
            <w:vAlign w:val="center"/>
          </w:tcPr>
          <w:p>
            <w:pPr>
              <w:pStyle w:val="31"/>
              <w:widowControl/>
              <w:topLinePunct/>
              <w:autoSpaceDE w:val="0"/>
              <w:adjustRightInd w:val="0"/>
              <w:snapToGrid w:val="0"/>
              <w:spacing w:before="266" w:line="244" w:lineRule="auto"/>
              <w:ind w:right="188"/>
              <w:jc w:val="center"/>
              <w:textAlignment w:val="baseline"/>
              <w:rPr>
                <w:rFonts w:ascii="仿宋" w:hAnsi="仿宋" w:eastAsia="仿宋" w:cs="仿宋"/>
                <w:color w:val="auto"/>
                <w:spacing w:val="-5"/>
                <w:sz w:val="24"/>
                <w:szCs w:val="24"/>
                <w:lang w:eastAsia="zh-CN"/>
              </w:rPr>
            </w:pPr>
            <w:r>
              <w:rPr>
                <w:rFonts w:hint="eastAsia" w:ascii="仿宋" w:hAnsi="仿宋" w:eastAsia="仿宋" w:cs="仿宋"/>
                <w:color w:val="auto"/>
                <w:spacing w:val="-5"/>
                <w:sz w:val="24"/>
                <w:szCs w:val="24"/>
              </w:rPr>
              <w:t>类似 业绩</w:t>
            </w:r>
          </w:p>
        </w:tc>
        <w:tc>
          <w:tcPr>
            <w:tcW w:w="945" w:type="dxa"/>
            <w:tcBorders>
              <w:tl2br w:val="nil"/>
              <w:tr2bl w:val="nil"/>
            </w:tcBorders>
            <w:vAlign w:val="center"/>
          </w:tcPr>
          <w:p>
            <w:pPr>
              <w:widowControl/>
              <w:topLinePunct/>
              <w:autoSpaceDE w:val="0"/>
              <w:adjustRightInd w:val="0"/>
              <w:snapToGrid w:val="0"/>
              <w:spacing w:line="321" w:lineRule="auto"/>
              <w:jc w:val="center"/>
              <w:textAlignment w:val="baseline"/>
              <w:rPr>
                <w:rFonts w:ascii="仿宋" w:hAnsi="仿宋" w:eastAsia="仿宋" w:cs="仿宋"/>
                <w:color w:val="auto"/>
                <w:sz w:val="24"/>
              </w:rPr>
            </w:pPr>
            <w:r>
              <w:rPr>
                <w:rFonts w:hint="eastAsia" w:ascii="仿宋" w:hAnsi="仿宋" w:eastAsia="仿宋" w:cs="仿宋"/>
                <w:color w:val="auto"/>
                <w:sz w:val="24"/>
              </w:rPr>
              <w:t>20分</w:t>
            </w:r>
          </w:p>
        </w:tc>
        <w:tc>
          <w:tcPr>
            <w:tcW w:w="6675" w:type="dxa"/>
            <w:tcBorders>
              <w:tl2br w:val="nil"/>
              <w:tr2bl w:val="nil"/>
            </w:tcBorders>
          </w:tcPr>
          <w:p>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color w:val="auto"/>
                <w:spacing w:val="9"/>
                <w:sz w:val="24"/>
                <w:szCs w:val="24"/>
                <w:lang w:eastAsia="zh-CN"/>
              </w:rPr>
            </w:pPr>
            <w:r>
              <w:rPr>
                <w:rFonts w:hint="eastAsia" w:ascii="仿宋" w:hAnsi="仿宋" w:eastAsia="仿宋" w:cs="仿宋"/>
                <w:color w:val="auto"/>
                <w:spacing w:val="9"/>
                <w:sz w:val="24"/>
                <w:szCs w:val="24"/>
                <w:lang w:eastAsia="zh-CN"/>
              </w:rPr>
              <w:t>自2022年2月-2025年2月,参选人有</w:t>
            </w:r>
            <w:r>
              <w:rPr>
                <w:rFonts w:hint="eastAsia" w:ascii="仿宋" w:hAnsi="仿宋" w:eastAsia="仿宋" w:cs="仿宋"/>
                <w:color w:val="auto"/>
                <w:spacing w:val="15"/>
                <w:kern w:val="0"/>
                <w:sz w:val="24"/>
                <w:szCs w:val="24"/>
                <w:lang w:eastAsia="zh-CN"/>
              </w:rPr>
              <w:t>棚户区改造或老旧小区提质改造或城中村改造的建设项目</w:t>
            </w:r>
            <w:r>
              <w:rPr>
                <w:rFonts w:hint="eastAsia" w:ascii="仿宋" w:hAnsi="仿宋" w:eastAsia="仿宋" w:cs="仿宋"/>
                <w:color w:val="auto"/>
                <w:spacing w:val="9"/>
                <w:sz w:val="24"/>
                <w:szCs w:val="24"/>
                <w:lang w:eastAsia="zh-CN"/>
              </w:rPr>
              <w:t>可行性研究报吿编制单项合同金额大于5万元业绩的,参选单位提供单独完成的完整合同复印件，并加盖投标人公章,每个提供一个项目业绩得5分,最高计20分。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443" w:hRule="atLeast"/>
        </w:trPr>
        <w:tc>
          <w:tcPr>
            <w:tcW w:w="930" w:type="dxa"/>
            <w:vMerge w:val="continue"/>
            <w:tcBorders>
              <w:tl2br w:val="nil"/>
              <w:tr2bl w:val="nil"/>
            </w:tcBorders>
            <w:vAlign w:val="center"/>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p>
        </w:tc>
        <w:tc>
          <w:tcPr>
            <w:tcW w:w="975" w:type="dxa"/>
            <w:tcBorders>
              <w:tl2br w:val="nil"/>
              <w:tr2bl w:val="nil"/>
            </w:tcBorders>
            <w:shd w:val="clear" w:color="auto" w:fill="auto"/>
            <w:vAlign w:val="center"/>
          </w:tcPr>
          <w:p>
            <w:pPr>
              <w:pStyle w:val="31"/>
              <w:widowControl/>
              <w:topLinePunct/>
              <w:autoSpaceDE w:val="0"/>
              <w:adjustRightInd w:val="0"/>
              <w:snapToGrid w:val="0"/>
              <w:spacing w:line="244" w:lineRule="auto"/>
              <w:jc w:val="center"/>
              <w:textAlignment w:val="baseline"/>
              <w:rPr>
                <w:rFonts w:ascii="仿宋" w:hAnsi="仿宋" w:eastAsia="仿宋" w:cs="仿宋"/>
                <w:color w:val="auto"/>
                <w:spacing w:val="-5"/>
                <w:sz w:val="24"/>
                <w:szCs w:val="24"/>
                <w:lang w:eastAsia="zh-CN"/>
              </w:rPr>
            </w:pPr>
            <w:r>
              <w:rPr>
                <w:rFonts w:hint="eastAsia" w:ascii="仿宋" w:hAnsi="仿宋" w:eastAsia="仿宋" w:cs="仿宋"/>
                <w:color w:val="auto"/>
                <w:spacing w:val="-5"/>
                <w:sz w:val="24"/>
                <w:szCs w:val="24"/>
                <w:lang w:eastAsia="zh-CN"/>
              </w:rPr>
              <w:t>技术</w:t>
            </w:r>
          </w:p>
          <w:p>
            <w:pPr>
              <w:pStyle w:val="31"/>
              <w:widowControl/>
              <w:topLinePunct/>
              <w:autoSpaceDE w:val="0"/>
              <w:adjustRightInd w:val="0"/>
              <w:snapToGrid w:val="0"/>
              <w:spacing w:line="244" w:lineRule="auto"/>
              <w:jc w:val="center"/>
              <w:textAlignment w:val="baseline"/>
              <w:rPr>
                <w:rFonts w:ascii="仿宋" w:hAnsi="仿宋" w:eastAsia="仿宋" w:cs="仿宋"/>
                <w:color w:val="auto"/>
                <w:spacing w:val="-5"/>
                <w:sz w:val="24"/>
                <w:szCs w:val="24"/>
                <w:lang w:eastAsia="zh-CN"/>
              </w:rPr>
            </w:pPr>
            <w:r>
              <w:rPr>
                <w:rFonts w:hint="eastAsia" w:ascii="仿宋" w:hAnsi="仿宋" w:eastAsia="仿宋" w:cs="仿宋"/>
                <w:color w:val="auto"/>
                <w:spacing w:val="-5"/>
                <w:sz w:val="24"/>
                <w:szCs w:val="24"/>
                <w:lang w:eastAsia="zh-CN"/>
              </w:rPr>
              <w:t>力量</w:t>
            </w:r>
          </w:p>
        </w:tc>
        <w:tc>
          <w:tcPr>
            <w:tcW w:w="945" w:type="dxa"/>
            <w:tcBorders>
              <w:tl2br w:val="nil"/>
              <w:tr2bl w:val="nil"/>
            </w:tcBorders>
            <w:shd w:val="clear" w:color="auto" w:fill="auto"/>
            <w:vAlign w:val="center"/>
          </w:tcPr>
          <w:p>
            <w:pPr>
              <w:widowControl/>
              <w:topLinePunct/>
              <w:autoSpaceDE w:val="0"/>
              <w:adjustRightInd w:val="0"/>
              <w:snapToGrid w:val="0"/>
              <w:jc w:val="center"/>
              <w:textAlignment w:val="baseline"/>
              <w:rPr>
                <w:rFonts w:ascii="仿宋" w:hAnsi="仿宋" w:eastAsia="仿宋" w:cs="仿宋"/>
                <w:color w:val="auto"/>
                <w:sz w:val="24"/>
              </w:rPr>
            </w:pPr>
            <w:r>
              <w:rPr>
                <w:rFonts w:hint="eastAsia" w:ascii="仿宋" w:hAnsi="仿宋" w:eastAsia="仿宋" w:cs="仿宋"/>
                <w:color w:val="auto"/>
                <w:sz w:val="24"/>
              </w:rPr>
              <w:t>10</w:t>
            </w:r>
          </w:p>
        </w:tc>
        <w:tc>
          <w:tcPr>
            <w:tcW w:w="6675" w:type="dxa"/>
            <w:tcBorders>
              <w:tl2br w:val="nil"/>
              <w:tr2bl w:val="nil"/>
            </w:tcBorders>
            <w:shd w:val="clear" w:color="auto" w:fill="auto"/>
          </w:tcPr>
          <w:p>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color w:val="auto"/>
                <w:spacing w:val="9"/>
                <w:sz w:val="24"/>
                <w:szCs w:val="24"/>
                <w:lang w:eastAsia="zh-CN"/>
              </w:rPr>
            </w:pPr>
            <w:r>
              <w:rPr>
                <w:rFonts w:hint="eastAsia" w:ascii="仿宋" w:hAnsi="仿宋" w:eastAsia="仿宋" w:cs="仿宋"/>
                <w:color w:val="auto"/>
                <w:spacing w:val="9"/>
                <w:sz w:val="24"/>
                <w:szCs w:val="24"/>
                <w:lang w:eastAsia="zh-CN"/>
              </w:rPr>
              <w:t>参选单位拟任项目团队成员（除项目负责人外的其他人员）具备咨询工程师(投资)职业资格证书的，每1人计5分，最多计10分。需提供证书复印件及在本单位劳动和社会保障部门出具的近半年连续6个月（ 2024年 9 月至 2025 年 2 月）的社保证明，均需加盖参选单位公章。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25" w:hRule="atLeast"/>
        </w:trPr>
        <w:tc>
          <w:tcPr>
            <w:tcW w:w="930" w:type="dxa"/>
            <w:tcBorders>
              <w:tl2br w:val="nil"/>
              <w:tr2bl w:val="nil"/>
            </w:tcBorders>
            <w:vAlign w:val="center"/>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r>
              <w:rPr>
                <w:rFonts w:hint="eastAsia" w:ascii="仿宋" w:hAnsi="仿宋" w:eastAsia="仿宋" w:cs="仿宋"/>
                <w:color w:val="auto"/>
                <w:spacing w:val="-5"/>
                <w:sz w:val="24"/>
                <w:szCs w:val="24"/>
                <w:lang w:eastAsia="zh-CN"/>
              </w:rPr>
              <w:t>价格部分</w:t>
            </w:r>
            <w:r>
              <w:rPr>
                <w:rFonts w:hint="eastAsia" w:ascii="仿宋" w:hAnsi="仿宋" w:eastAsia="仿宋" w:cs="仿宋"/>
                <w:color w:val="auto"/>
                <w:spacing w:val="-5"/>
                <w:sz w:val="24"/>
                <w:szCs w:val="24"/>
              </w:rPr>
              <w:t>(</w:t>
            </w:r>
            <w:r>
              <w:rPr>
                <w:rFonts w:hint="eastAsia" w:ascii="仿宋" w:hAnsi="仿宋" w:eastAsia="仿宋" w:cs="仿宋"/>
                <w:color w:val="auto"/>
                <w:spacing w:val="-5"/>
                <w:sz w:val="24"/>
                <w:szCs w:val="24"/>
                <w:lang w:eastAsia="zh-CN"/>
              </w:rPr>
              <w:t>30分</w:t>
            </w:r>
            <w:r>
              <w:rPr>
                <w:rFonts w:hint="eastAsia" w:ascii="仿宋" w:hAnsi="仿宋" w:eastAsia="仿宋" w:cs="仿宋"/>
                <w:color w:val="auto"/>
                <w:spacing w:val="-5"/>
                <w:sz w:val="24"/>
                <w:szCs w:val="24"/>
              </w:rPr>
              <w:t>)</w:t>
            </w:r>
          </w:p>
        </w:tc>
        <w:tc>
          <w:tcPr>
            <w:tcW w:w="975" w:type="dxa"/>
            <w:tcBorders>
              <w:tl2br w:val="nil"/>
              <w:tr2bl w:val="nil"/>
            </w:tcBorders>
            <w:shd w:val="clear" w:color="auto" w:fill="auto"/>
            <w:vAlign w:val="center"/>
          </w:tcPr>
          <w:p>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color w:val="auto"/>
                <w:spacing w:val="-5"/>
                <w:sz w:val="24"/>
                <w:szCs w:val="24"/>
              </w:rPr>
            </w:pP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报价</w:t>
            </w:r>
          </w:p>
        </w:tc>
        <w:tc>
          <w:tcPr>
            <w:tcW w:w="945" w:type="dxa"/>
            <w:tcBorders>
              <w:tl2br w:val="nil"/>
              <w:tr2bl w:val="nil"/>
            </w:tcBorders>
            <w:shd w:val="clear" w:color="auto" w:fill="auto"/>
            <w:vAlign w:val="center"/>
          </w:tcPr>
          <w:p>
            <w:pPr>
              <w:widowControl/>
              <w:topLinePunct/>
              <w:autoSpaceDE w:val="0"/>
              <w:adjustRightInd w:val="0"/>
              <w:snapToGrid w:val="0"/>
              <w:jc w:val="center"/>
              <w:textAlignment w:val="baseline"/>
              <w:rPr>
                <w:rFonts w:ascii="仿宋" w:hAnsi="仿宋" w:eastAsia="仿宋" w:cs="仿宋"/>
                <w:color w:val="auto"/>
                <w:spacing w:val="-5"/>
                <w:sz w:val="24"/>
              </w:rPr>
            </w:pPr>
            <w:r>
              <w:rPr>
                <w:rFonts w:hint="eastAsia" w:ascii="仿宋" w:hAnsi="仿宋" w:eastAsia="仿宋" w:cs="仿宋"/>
                <w:color w:val="auto"/>
                <w:sz w:val="24"/>
              </w:rPr>
              <w:t>30分</w:t>
            </w:r>
          </w:p>
        </w:tc>
        <w:tc>
          <w:tcPr>
            <w:tcW w:w="6675" w:type="dxa"/>
            <w:tcBorders>
              <w:tl2br w:val="nil"/>
              <w:tr2bl w:val="nil"/>
            </w:tcBorders>
            <w:shd w:val="clear" w:color="auto" w:fill="auto"/>
          </w:tcPr>
          <w:p>
            <w:pPr>
              <w:ind w:firstLine="480"/>
              <w:rPr>
                <w:rFonts w:ascii="仿宋" w:hAnsi="仿宋" w:eastAsia="仿宋" w:cs="仿宋"/>
                <w:color w:val="auto"/>
                <w:sz w:val="24"/>
              </w:rPr>
            </w:pPr>
            <w:r>
              <w:rPr>
                <w:rFonts w:hint="eastAsia" w:ascii="仿宋" w:hAnsi="仿宋" w:eastAsia="仿宋" w:cs="仿宋"/>
                <w:color w:val="auto"/>
                <w:sz w:val="24"/>
              </w:rPr>
              <w:t>综合评分法中的价格分统一采用偏离度计算法计算。将通过初步评审的有效参选人的折扣报价作为评选价。基准价取有效参选人评选价的算数平均值，参选人的评选价越接近基准价，得分越高。评选价等于基准价的得满分;</w:t>
            </w:r>
          </w:p>
          <w:p>
            <w:pPr>
              <w:pStyle w:val="31"/>
              <w:spacing w:before="129" w:line="239" w:lineRule="auto"/>
              <w:ind w:left="110" w:right="191"/>
              <w:rPr>
                <w:rFonts w:ascii="仿宋" w:hAnsi="仿宋" w:eastAsia="仿宋" w:cs="仿宋"/>
                <w:color w:val="auto"/>
                <w:spacing w:val="4"/>
                <w:sz w:val="24"/>
                <w:szCs w:val="24"/>
                <w:lang w:eastAsia="zh-CN"/>
              </w:rPr>
            </w:pPr>
            <w:r>
              <w:rPr>
                <w:rFonts w:hint="eastAsia" w:ascii="仿宋" w:hAnsi="仿宋" w:eastAsia="仿宋" w:cs="仿宋"/>
                <w:color w:val="auto"/>
                <w:sz w:val="24"/>
                <w:szCs w:val="24"/>
                <w:lang w:eastAsia="zh-CN"/>
              </w:rPr>
              <w:t>计算公式:</w:t>
            </w:r>
            <w:r>
              <w:rPr>
                <w:rFonts w:hint="eastAsia" w:ascii="仿宋" w:hAnsi="仿宋" w:eastAsia="仿宋" w:cs="仿宋"/>
                <w:color w:val="auto"/>
                <w:sz w:val="24"/>
                <w:szCs w:val="24"/>
                <w:lang w:eastAsia="zh-CN"/>
              </w:rPr>
              <w:br w:type="textWrapping"/>
            </w:r>
            <w:r>
              <w:rPr>
                <w:rFonts w:hint="eastAsia" w:ascii="仿宋" w:hAnsi="仿宋" w:eastAsia="仿宋" w:cs="仿宋"/>
                <w:color w:val="auto"/>
                <w:sz w:val="24"/>
                <w:szCs w:val="24"/>
                <w:lang w:eastAsia="zh-CN"/>
              </w:rPr>
              <w:t>偏离度=|(最终投标价－基准价)/（基准价）|*100%</w:t>
            </w:r>
            <w:r>
              <w:rPr>
                <w:rFonts w:hint="eastAsia" w:ascii="仿宋" w:hAnsi="仿宋" w:eastAsia="仿宋" w:cs="仿宋"/>
                <w:color w:val="auto"/>
                <w:sz w:val="24"/>
                <w:szCs w:val="24"/>
                <w:lang w:eastAsia="zh-CN"/>
              </w:rPr>
              <w:br w:type="textWrapping"/>
            </w:r>
            <w:r>
              <w:rPr>
                <w:rFonts w:hint="eastAsia" w:ascii="仿宋" w:hAnsi="仿宋" w:eastAsia="仿宋" w:cs="仿宋"/>
                <w:color w:val="auto"/>
                <w:sz w:val="24"/>
                <w:szCs w:val="24"/>
                <w:lang w:eastAsia="zh-CN"/>
              </w:rPr>
              <w:t>报价得分:偏离得分=30-30*偏离度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7" w:hRule="atLeast"/>
        </w:trPr>
        <w:tc>
          <w:tcPr>
            <w:tcW w:w="930" w:type="dxa"/>
            <w:tcBorders>
              <w:tl2br w:val="nil"/>
              <w:tr2bl w:val="nil"/>
            </w:tcBorders>
            <w:vAlign w:val="center"/>
          </w:tcPr>
          <w:p>
            <w:pPr>
              <w:pStyle w:val="31"/>
              <w:spacing w:before="65" w:line="228" w:lineRule="auto"/>
              <w:ind w:firstLine="246" w:firstLineChars="100"/>
              <w:rPr>
                <w:rFonts w:ascii="仿宋" w:hAnsi="仿宋" w:eastAsia="仿宋" w:cs="仿宋"/>
                <w:color w:val="auto"/>
                <w:spacing w:val="8"/>
                <w:sz w:val="24"/>
                <w:szCs w:val="24"/>
                <w:lang w:eastAsia="zh-CN"/>
              </w:rPr>
            </w:pPr>
            <w:r>
              <w:rPr>
                <w:rFonts w:hint="eastAsia" w:ascii="仿宋" w:hAnsi="仿宋" w:eastAsia="仿宋" w:cs="仿宋"/>
                <w:color w:val="auto"/>
                <w:spacing w:val="3"/>
                <w:sz w:val="24"/>
                <w:szCs w:val="24"/>
                <w:lang w:eastAsia="zh-CN"/>
              </w:rPr>
              <w:t>合计</w:t>
            </w:r>
          </w:p>
        </w:tc>
        <w:tc>
          <w:tcPr>
            <w:tcW w:w="8595" w:type="dxa"/>
            <w:gridSpan w:val="3"/>
            <w:tcBorders>
              <w:tl2br w:val="nil"/>
              <w:tr2bl w:val="nil"/>
            </w:tcBorders>
            <w:vAlign w:val="center"/>
          </w:tcPr>
          <w:p>
            <w:pPr>
              <w:pStyle w:val="31"/>
              <w:spacing w:before="24" w:line="228" w:lineRule="auto"/>
              <w:ind w:left="113" w:firstLine="512" w:firstLineChars="200"/>
              <w:jc w:val="center"/>
              <w:rPr>
                <w:rFonts w:ascii="仿宋" w:hAnsi="仿宋" w:eastAsia="仿宋" w:cs="仿宋"/>
                <w:color w:val="auto"/>
                <w:spacing w:val="8"/>
                <w:sz w:val="24"/>
                <w:szCs w:val="24"/>
                <w:lang w:eastAsia="zh-CN"/>
              </w:rPr>
            </w:pPr>
            <w:r>
              <w:rPr>
                <w:rFonts w:hint="eastAsia" w:ascii="仿宋" w:hAnsi="仿宋" w:eastAsia="仿宋" w:cs="仿宋"/>
                <w:color w:val="auto"/>
                <w:spacing w:val="8"/>
                <w:sz w:val="24"/>
                <w:szCs w:val="24"/>
                <w:lang w:eastAsia="zh-CN"/>
              </w:rPr>
              <w:t>100分</w:t>
            </w:r>
          </w:p>
        </w:tc>
      </w:tr>
    </w:tbl>
    <w:p>
      <w:pPr>
        <w:pStyle w:val="24"/>
        <w:rPr>
          <w:color w:val="auto"/>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p>
    <w:p>
      <w:pPr>
        <w:jc w:val="both"/>
        <w:rPr>
          <w:rFonts w:ascii="黑体" w:hAnsi="黑体" w:eastAsia="黑体" w:cs="黑体"/>
          <w:b/>
          <w:bCs/>
          <w:snapToGrid w:val="0"/>
          <w:sz w:val="32"/>
          <w:szCs w:val="32"/>
        </w:rPr>
      </w:pPr>
    </w:p>
    <w:p>
      <w:pPr>
        <w:ind w:firstLine="643"/>
        <w:jc w:val="center"/>
        <w:rPr>
          <w:rFonts w:ascii="黑体" w:hAnsi="黑体" w:eastAsia="黑体" w:cs="黑体"/>
          <w:b/>
          <w:bCs/>
          <w:snapToGrid w:val="0"/>
          <w:sz w:val="32"/>
          <w:szCs w:val="32"/>
        </w:rPr>
      </w:pPr>
      <w:r>
        <w:rPr>
          <w:rFonts w:hint="eastAsia" w:ascii="黑体" w:hAnsi="黑体" w:eastAsia="黑体" w:cs="黑体"/>
          <w:b/>
          <w:bCs/>
          <w:snapToGrid w:val="0"/>
          <w:sz w:val="32"/>
          <w:szCs w:val="32"/>
        </w:rPr>
        <w:t>报价评分标准表（满分30分）</w:t>
      </w:r>
    </w:p>
    <w:p>
      <w:pPr>
        <w:spacing w:line="35" w:lineRule="exact"/>
        <w:ind w:firstLine="420"/>
      </w:pPr>
    </w:p>
    <w:tbl>
      <w:tblPr>
        <w:tblStyle w:val="21"/>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2193"/>
        <w:gridCol w:w="2201"/>
        <w:gridCol w:w="3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959" w:type="dxa"/>
            <w:vMerge w:val="restart"/>
            <w:vAlign w:val="center"/>
          </w:tcPr>
          <w:p>
            <w:pPr>
              <w:ind w:firstLine="420"/>
              <w:jc w:val="center"/>
              <w:rPr>
                <w:rFonts w:ascii="仿宋" w:hAnsi="仿宋" w:eastAsia="仿宋" w:cs="仿宋"/>
                <w:szCs w:val="21"/>
              </w:rPr>
            </w:pPr>
            <w:r>
              <w:rPr>
                <w:rFonts w:hint="eastAsia" w:ascii="仿宋" w:hAnsi="仿宋" w:eastAsia="仿宋" w:cs="仿宋"/>
                <w:szCs w:val="21"/>
              </w:rPr>
              <w:t>报</w:t>
            </w:r>
          </w:p>
          <w:p>
            <w:pPr>
              <w:ind w:firstLine="420"/>
              <w:jc w:val="center"/>
              <w:rPr>
                <w:rFonts w:ascii="仿宋" w:hAnsi="仿宋" w:eastAsia="仿宋" w:cs="仿宋"/>
                <w:szCs w:val="21"/>
              </w:rPr>
            </w:pPr>
            <w:r>
              <w:rPr>
                <w:rFonts w:hint="eastAsia" w:ascii="仿宋" w:hAnsi="仿宋" w:eastAsia="仿宋" w:cs="仿宋"/>
                <w:szCs w:val="21"/>
              </w:rPr>
              <w:t>价</w:t>
            </w:r>
          </w:p>
          <w:p>
            <w:pPr>
              <w:ind w:firstLine="420"/>
              <w:jc w:val="center"/>
              <w:rPr>
                <w:rFonts w:ascii="仿宋" w:hAnsi="仿宋" w:eastAsia="仿宋" w:cs="仿宋"/>
                <w:szCs w:val="21"/>
              </w:rPr>
            </w:pPr>
            <w:r>
              <w:rPr>
                <w:rFonts w:hint="eastAsia" w:ascii="仿宋" w:hAnsi="仿宋" w:eastAsia="仿宋" w:cs="仿宋"/>
                <w:szCs w:val="21"/>
              </w:rPr>
              <w:t>评</w:t>
            </w:r>
          </w:p>
          <w:p>
            <w:pPr>
              <w:ind w:firstLine="420"/>
              <w:jc w:val="center"/>
              <w:rPr>
                <w:rFonts w:ascii="仿宋" w:hAnsi="仿宋" w:eastAsia="仿宋" w:cs="仿宋"/>
                <w:szCs w:val="21"/>
              </w:rPr>
            </w:pPr>
            <w:r>
              <w:rPr>
                <w:rFonts w:hint="eastAsia" w:ascii="仿宋" w:hAnsi="仿宋" w:eastAsia="仿宋" w:cs="仿宋"/>
                <w:szCs w:val="21"/>
              </w:rPr>
              <w:t>审</w:t>
            </w:r>
          </w:p>
        </w:tc>
        <w:tc>
          <w:tcPr>
            <w:tcW w:w="2193" w:type="dxa"/>
            <w:tcBorders>
              <w:bottom w:val="single" w:color="auto" w:sz="4" w:space="0"/>
              <w:right w:val="single" w:color="auto" w:sz="4" w:space="0"/>
            </w:tcBorders>
            <w:vAlign w:val="center"/>
          </w:tcPr>
          <w:p>
            <w:pPr>
              <w:ind w:firstLine="420"/>
              <w:rPr>
                <w:rFonts w:ascii="仿宋" w:hAnsi="仿宋" w:eastAsia="仿宋" w:cs="仿宋"/>
                <w:szCs w:val="21"/>
              </w:rPr>
            </w:pPr>
            <w:r>
              <w:rPr>
                <w:rFonts w:hint="eastAsia" w:ascii="仿宋" w:hAnsi="仿宋" w:eastAsia="仿宋" w:cs="仿宋"/>
                <w:szCs w:val="21"/>
              </w:rPr>
              <w:t>评分标准</w:t>
            </w:r>
          </w:p>
        </w:tc>
        <w:tc>
          <w:tcPr>
            <w:tcW w:w="2201" w:type="dxa"/>
            <w:tcBorders>
              <w:left w:val="single" w:color="auto" w:sz="4" w:space="0"/>
              <w:bottom w:val="single" w:color="auto" w:sz="4" w:space="0"/>
              <w:right w:val="single" w:color="auto" w:sz="4" w:space="0"/>
            </w:tcBorders>
            <w:vAlign w:val="center"/>
          </w:tcPr>
          <w:p>
            <w:pPr>
              <w:ind w:firstLine="420"/>
              <w:rPr>
                <w:rFonts w:ascii="仿宋" w:hAnsi="仿宋" w:eastAsia="仿宋" w:cs="仿宋"/>
                <w:szCs w:val="21"/>
              </w:rPr>
            </w:pPr>
            <w:r>
              <w:rPr>
                <w:rFonts w:hint="eastAsia" w:ascii="仿宋" w:hAnsi="仿宋" w:eastAsia="仿宋" w:cs="仿宋"/>
                <w:szCs w:val="21"/>
              </w:rPr>
              <w:t>计分方式</w:t>
            </w:r>
          </w:p>
        </w:tc>
        <w:tc>
          <w:tcPr>
            <w:tcW w:w="3169" w:type="dxa"/>
            <w:tcBorders>
              <w:left w:val="single" w:color="auto" w:sz="4" w:space="0"/>
              <w:bottom w:val="single" w:color="auto" w:sz="4" w:space="0"/>
            </w:tcBorders>
            <w:vAlign w:val="center"/>
          </w:tcPr>
          <w:p>
            <w:pPr>
              <w:ind w:firstLine="420"/>
              <w:jc w:val="center"/>
              <w:rPr>
                <w:rFonts w:ascii="仿宋" w:hAnsi="仿宋" w:eastAsia="仿宋" w:cs="仿宋"/>
                <w:szCs w:val="21"/>
              </w:rPr>
            </w:pPr>
            <w:r>
              <w:rPr>
                <w:rFonts w:hint="eastAsia" w:ascii="仿宋" w:hAnsi="仿宋" w:eastAsia="仿宋" w:cs="仿宋"/>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959" w:type="dxa"/>
            <w:vMerge w:val="continue"/>
            <w:vAlign w:val="center"/>
          </w:tcPr>
          <w:p>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30-30X</w:t>
            </w:r>
          </w:p>
        </w:tc>
        <w:tc>
          <w:tcPr>
            <w:tcW w:w="3169" w:type="dxa"/>
            <w:vMerge w:val="restart"/>
            <w:tcBorders>
              <w:top w:val="single" w:color="auto" w:sz="4" w:space="0"/>
              <w:left w:val="single" w:color="auto" w:sz="4" w:space="0"/>
            </w:tcBorders>
            <w:vAlign w:val="center"/>
          </w:tcPr>
          <w:p>
            <w:pPr>
              <w:ind w:firstLine="420"/>
              <w:rPr>
                <w:rFonts w:ascii="仿宋" w:hAnsi="仿宋" w:eastAsia="仿宋" w:cs="仿宋"/>
                <w:szCs w:val="21"/>
              </w:rPr>
            </w:pPr>
            <w:r>
              <w:rPr>
                <w:rFonts w:hint="eastAsia" w:ascii="仿宋" w:hAnsi="仿宋" w:eastAsia="仿宋" w:cs="仿宋"/>
                <w:szCs w:val="21"/>
              </w:rPr>
              <w:t>X为偏离度，即最终投标价升、降率百分点数的绝对值，即：▏（最终投标价－基准价）/（基准价）▏*100%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959" w:type="dxa"/>
            <w:vMerge w:val="continue"/>
            <w:vAlign w:val="center"/>
          </w:tcPr>
          <w:p>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30分</w:t>
            </w:r>
          </w:p>
        </w:tc>
        <w:tc>
          <w:tcPr>
            <w:tcW w:w="3169" w:type="dxa"/>
            <w:vMerge w:val="continue"/>
            <w:tcBorders>
              <w:left w:val="single" w:color="auto" w:sz="4" w:space="0"/>
            </w:tcBorders>
            <w:vAlign w:val="center"/>
          </w:tcPr>
          <w:p>
            <w:pPr>
              <w:ind w:firstLine="420"/>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959" w:type="dxa"/>
            <w:vMerge w:val="continue"/>
            <w:vAlign w:val="center"/>
          </w:tcPr>
          <w:p>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Cs w:val="21"/>
              </w:rPr>
              <w:t>30-30X</w:t>
            </w:r>
          </w:p>
        </w:tc>
        <w:tc>
          <w:tcPr>
            <w:tcW w:w="3169" w:type="dxa"/>
            <w:vMerge w:val="continue"/>
            <w:tcBorders>
              <w:left w:val="single" w:color="auto" w:sz="4" w:space="0"/>
              <w:bottom w:val="single" w:color="auto" w:sz="4" w:space="0"/>
            </w:tcBorders>
            <w:vAlign w:val="center"/>
          </w:tcPr>
          <w:p>
            <w:pPr>
              <w:ind w:firstLine="420"/>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72" w:hRule="exact"/>
          <w:jc w:val="center"/>
        </w:trPr>
        <w:tc>
          <w:tcPr>
            <w:tcW w:w="959" w:type="dxa"/>
            <w:vMerge w:val="continue"/>
            <w:vAlign w:val="center"/>
          </w:tcPr>
          <w:p>
            <w:pPr>
              <w:ind w:firstLine="420"/>
              <w:jc w:val="center"/>
              <w:rPr>
                <w:rFonts w:ascii="仿宋" w:hAnsi="仿宋" w:eastAsia="仿宋" w:cs="仿宋"/>
                <w:szCs w:val="21"/>
              </w:rPr>
            </w:pPr>
          </w:p>
        </w:tc>
        <w:tc>
          <w:tcPr>
            <w:tcW w:w="7563" w:type="dxa"/>
            <w:gridSpan w:val="3"/>
            <w:tcBorders>
              <w:top w:val="single" w:color="auto" w:sz="4" w:space="0"/>
            </w:tcBorders>
            <w:vAlign w:val="center"/>
          </w:tcPr>
          <w:p>
            <w:pPr>
              <w:ind w:firstLine="420"/>
              <w:rPr>
                <w:rFonts w:ascii="仿宋" w:hAnsi="仿宋" w:eastAsia="仿宋" w:cs="仿宋"/>
                <w:szCs w:val="21"/>
              </w:rPr>
            </w:pPr>
            <w:r>
              <w:rPr>
                <w:rFonts w:hint="eastAsia" w:ascii="仿宋" w:hAnsi="仿宋" w:eastAsia="仿宋" w:cs="仿宋"/>
                <w:szCs w:val="21"/>
              </w:rPr>
              <w:t>备注：</w:t>
            </w:r>
          </w:p>
          <w:p>
            <w:pPr>
              <w:ind w:firstLine="420"/>
              <w:rPr>
                <w:rFonts w:ascii="仿宋" w:hAnsi="仿宋" w:eastAsia="仿宋" w:cs="仿宋"/>
                <w:szCs w:val="21"/>
              </w:rPr>
            </w:pPr>
            <w:r>
              <w:rPr>
                <w:rFonts w:hint="eastAsia" w:ascii="仿宋" w:hAnsi="仿宋" w:eastAsia="仿宋" w:cs="仿宋"/>
                <w:szCs w:val="21"/>
              </w:rPr>
              <w:t>1.所有有效参选人的投标报价进入最终投标价的算术平均。</w:t>
            </w:r>
          </w:p>
          <w:p>
            <w:pPr>
              <w:ind w:firstLine="420"/>
              <w:rPr>
                <w:rFonts w:ascii="仿宋" w:hAnsi="仿宋" w:eastAsia="仿宋" w:cs="仿宋"/>
                <w:szCs w:val="21"/>
              </w:rPr>
            </w:pPr>
            <w:r>
              <w:rPr>
                <w:rFonts w:hint="eastAsia" w:ascii="仿宋" w:hAnsi="仿宋" w:eastAsia="仿宋" w:cs="仿宋"/>
                <w:szCs w:val="21"/>
              </w:rPr>
              <w:t>2. 基准价公式:</w:t>
            </w:r>
          </w:p>
          <w:p>
            <w:pPr>
              <w:ind w:firstLine="420"/>
              <w:rPr>
                <w:rFonts w:ascii="仿宋" w:hAnsi="仿宋" w:eastAsia="仿宋" w:cs="仿宋"/>
                <w:szCs w:val="21"/>
              </w:rPr>
            </w:pPr>
            <w:r>
              <w:rPr>
                <w:rFonts w:hint="eastAsia" w:ascii="仿宋" w:hAnsi="仿宋" w:eastAsia="仿宋" w:cs="仿宋"/>
                <w:szCs w:val="21"/>
              </w:rPr>
              <w:t>基准价=（A1+A2+……+Ai …… +An)/N</w:t>
            </w:r>
          </w:p>
          <w:p>
            <w:pPr>
              <w:ind w:firstLine="420"/>
              <w:rPr>
                <w:rFonts w:ascii="仿宋" w:hAnsi="仿宋" w:eastAsia="仿宋" w:cs="仿宋"/>
                <w:szCs w:val="21"/>
              </w:rPr>
            </w:pPr>
            <w:r>
              <w:rPr>
                <w:rFonts w:hint="eastAsia" w:ascii="仿宋" w:hAnsi="仿宋" w:eastAsia="仿宋" w:cs="仿宋"/>
                <w:szCs w:val="21"/>
              </w:rPr>
              <w:t>i=1...i…n；Ai为进入基准价计算的最终投标价；N为进入基准价计算的最终投标价的个数。投标报价低于基准值</w:t>
            </w:r>
            <w:r>
              <w:rPr>
                <w:rFonts w:hint="eastAsia" w:ascii="仿宋" w:hAnsi="仿宋" w:eastAsia="仿宋" w:cs="仿宋"/>
                <w:sz w:val="24"/>
              </w:rPr>
              <w:t>70%</w:t>
            </w:r>
            <w:r>
              <w:rPr>
                <w:rFonts w:hint="eastAsia" w:ascii="仿宋" w:hAnsi="仿宋" w:eastAsia="仿宋" w:cs="仿宋"/>
                <w:szCs w:val="21"/>
              </w:rPr>
              <w:t>视为无效报价，重新计算基准值。</w:t>
            </w:r>
          </w:p>
          <w:p>
            <w:pPr>
              <w:ind w:firstLine="420"/>
              <w:rPr>
                <w:rFonts w:ascii="仿宋" w:hAnsi="仿宋" w:eastAsia="仿宋" w:cs="仿宋"/>
                <w:szCs w:val="21"/>
              </w:rPr>
            </w:pPr>
            <w:r>
              <w:rPr>
                <w:rFonts w:hint="eastAsia" w:ascii="仿宋" w:hAnsi="仿宋" w:eastAsia="仿宋" w:cs="仿宋"/>
                <w:szCs w:val="21"/>
              </w:rPr>
              <w:t>3.最终投标报价以人民币元为单位，计算保留至小数点后2位(百分比亦然)，小数点后第3位采取4舍5入。</w:t>
            </w:r>
          </w:p>
          <w:p>
            <w:pPr>
              <w:ind w:firstLine="420"/>
              <w:rPr>
                <w:rFonts w:ascii="仿宋" w:hAnsi="仿宋" w:eastAsia="仿宋" w:cs="仿宋"/>
                <w:szCs w:val="21"/>
              </w:rPr>
            </w:pPr>
            <w:r>
              <w:rPr>
                <w:rFonts w:hint="eastAsia" w:ascii="仿宋" w:hAnsi="仿宋" w:eastAsia="仿宋" w:cs="仿宋"/>
                <w:szCs w:val="21"/>
              </w:rPr>
              <w:t>4.该项评标内容计分，由评标委员会按以上规定集体评议确定。</w:t>
            </w:r>
          </w:p>
          <w:p>
            <w:pPr>
              <w:ind w:firstLine="420"/>
              <w:rPr>
                <w:rFonts w:ascii="仿宋" w:hAnsi="仿宋" w:eastAsia="仿宋" w:cs="仿宋"/>
                <w:b/>
                <w:szCs w:val="21"/>
              </w:rPr>
            </w:pPr>
            <w:r>
              <w:rPr>
                <w:rFonts w:hint="eastAsia" w:ascii="仿宋" w:hAnsi="仿宋" w:eastAsia="仿宋" w:cs="仿宋"/>
                <w:szCs w:val="21"/>
              </w:rPr>
              <w:t>5.为防止恶意低价竞标，报价低于项目最高投标限价70%视为无效报价。得0分。</w:t>
            </w:r>
          </w:p>
        </w:tc>
      </w:tr>
    </w:tbl>
    <w:p>
      <w:pPr>
        <w:adjustRightInd w:val="0"/>
        <w:snapToGrid w:val="0"/>
        <w:spacing w:line="560" w:lineRule="exact"/>
        <w:jc w:val="center"/>
        <w:rPr>
          <w:rFonts w:ascii="Calibri" w:hAnsi="Calibri" w:eastAsia="微软雅黑"/>
          <w:bCs/>
          <w:kern w:val="44"/>
          <w:sz w:val="44"/>
          <w:szCs w:val="44"/>
        </w:rPr>
      </w:pPr>
    </w:p>
    <w:p>
      <w:pPr>
        <w:rPr>
          <w:rFonts w:ascii="Calibri" w:hAnsi="Calibri" w:eastAsia="微软雅黑"/>
          <w:bCs/>
          <w:kern w:val="44"/>
          <w:sz w:val="44"/>
          <w:szCs w:val="44"/>
        </w:rPr>
      </w:pPr>
      <w:r>
        <w:rPr>
          <w:rFonts w:ascii="Calibri" w:hAnsi="Calibri" w:eastAsia="微软雅黑"/>
          <w:bCs/>
          <w:kern w:val="44"/>
          <w:sz w:val="44"/>
          <w:szCs w:val="44"/>
        </w:rPr>
        <w:br w:type="page"/>
      </w:r>
    </w:p>
    <w:p>
      <w:pPr>
        <w:adjustRightInd w:val="0"/>
        <w:snapToGrid w:val="0"/>
        <w:spacing w:line="560" w:lineRule="exact"/>
        <w:jc w:val="center"/>
        <w:rPr>
          <w:rFonts w:ascii="Calibri" w:hAnsi="Calibri" w:eastAsia="微软雅黑"/>
          <w:bCs/>
          <w:kern w:val="44"/>
          <w:sz w:val="44"/>
          <w:szCs w:val="44"/>
        </w:rPr>
      </w:pPr>
      <w:r>
        <w:rPr>
          <w:rFonts w:hint="eastAsia" w:ascii="黑体" w:hAnsi="黑体" w:eastAsia="黑体" w:cs="黑体"/>
          <w:bCs/>
          <w:kern w:val="44"/>
          <w:sz w:val="44"/>
          <w:szCs w:val="44"/>
        </w:rPr>
        <w:t>第五章 发包人要求</w:t>
      </w:r>
    </w:p>
    <w:p>
      <w:pPr>
        <w:adjustRightInd w:val="0"/>
        <w:snapToGrid w:val="0"/>
        <w:spacing w:line="560" w:lineRule="exact"/>
        <w:rPr>
          <w:rFonts w:ascii="Calibri" w:hAnsi="Calibri" w:eastAsia="微软雅黑"/>
          <w:bCs/>
          <w:kern w:val="44"/>
          <w:sz w:val="44"/>
          <w:szCs w:val="44"/>
        </w:rPr>
      </w:pPr>
    </w:p>
    <w:p>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一、承包人需按发包人要求在规定时间内取得立项文件及相关手续资料，具体时间以合同约定为准。</w:t>
      </w:r>
    </w:p>
    <w:p>
      <w:pPr>
        <w:widowControl/>
        <w:spacing w:line="480" w:lineRule="exact"/>
        <w:ind w:firstLine="643" w:firstLineChars="200"/>
        <w:jc w:val="left"/>
        <w:rPr>
          <w:rFonts w:ascii="黑体" w:hAnsi="黑体" w:eastAsia="黑体" w:cs="黑体"/>
          <w:b/>
          <w:bCs/>
          <w:sz w:val="32"/>
          <w:szCs w:val="32"/>
        </w:rPr>
      </w:pPr>
    </w:p>
    <w:p>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二、项目实施过程中如发生政策调整等相关问题的，由承包人自行与相关职能部门沟通协调解决，发包人不再新增任何其他服务费用。</w:t>
      </w:r>
    </w:p>
    <w:p>
      <w:pPr>
        <w:widowControl/>
        <w:spacing w:line="480" w:lineRule="exact"/>
        <w:ind w:firstLine="643" w:firstLineChars="200"/>
        <w:jc w:val="left"/>
        <w:rPr>
          <w:rFonts w:ascii="黑体" w:hAnsi="黑体" w:eastAsia="黑体" w:cs="黑体"/>
          <w:b/>
          <w:bCs/>
          <w:sz w:val="32"/>
          <w:szCs w:val="32"/>
        </w:rPr>
      </w:pPr>
    </w:p>
    <w:p>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三、本项目采用风险代理合作模式，在承包人未完成合同约定服务内容及取得立项批文前，发包人不支付任何服务费用。承包人在完成合同约定全部服务内容后，由发包人在一个月内一次性支付全部服务费用。</w:t>
      </w:r>
    </w:p>
    <w:p>
      <w:pPr>
        <w:widowControl/>
        <w:spacing w:line="480" w:lineRule="exact"/>
        <w:ind w:firstLine="643" w:firstLineChars="200"/>
        <w:jc w:val="left"/>
        <w:rPr>
          <w:rFonts w:ascii="黑体" w:hAnsi="黑体" w:eastAsia="黑体" w:cs="黑体"/>
          <w:b/>
          <w:bCs/>
          <w:sz w:val="32"/>
          <w:szCs w:val="32"/>
        </w:rPr>
      </w:pPr>
    </w:p>
    <w:p>
      <w:pPr>
        <w:widowControl/>
        <w:spacing w:line="480" w:lineRule="exact"/>
        <w:ind w:firstLine="643" w:firstLineChars="200"/>
        <w:jc w:val="left"/>
        <w:rPr>
          <w:rFonts w:ascii="黑体" w:hAnsi="黑体" w:eastAsia="黑体" w:cs="黑体"/>
          <w:b/>
          <w:bCs/>
          <w:sz w:val="32"/>
          <w:szCs w:val="32"/>
        </w:rPr>
      </w:pPr>
    </w:p>
    <w:p>
      <w:pPr>
        <w:pStyle w:val="24"/>
        <w:rPr>
          <w:color w:val="auto"/>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685689-B7EC-41DF-9136-77E27C00650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D01BC2E-3D1C-4258-98A9-3DEAC712360E}"/>
  </w:font>
  <w:font w:name="微软雅黑">
    <w:panose1 w:val="020B0503020204020204"/>
    <w:charset w:val="86"/>
    <w:family w:val="swiss"/>
    <w:pitch w:val="default"/>
    <w:sig w:usb0="80000287" w:usb1="280F3C52" w:usb2="00000016" w:usb3="00000000" w:csb0="0004001F" w:csb1="00000000"/>
    <w:embedRegular r:id="rId3" w:fontKey="{0F260794-BE91-4FAC-BE7E-8C55407DB773}"/>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0" w:usb1="00000000" w:usb2="00000000" w:usb3="00000000" w:csb0="00000000" w:csb1="00000000"/>
    <w:embedRegular r:id="rId4" w:fontKey="{933C2D4A-2C87-41C2-BD44-FBD50B3462BC}"/>
  </w:font>
  <w:font w:name="方正小标宋_GBK">
    <w:panose1 w:val="02000000000000000000"/>
    <w:charset w:val="86"/>
    <w:family w:val="script"/>
    <w:pitch w:val="default"/>
    <w:sig w:usb0="00000000" w:usb1="00000000" w:usb2="00000000" w:usb3="00000000" w:csb0="00000000" w:csb1="00000000"/>
    <w:embedRegular r:id="rId5" w:fontKey="{9034C416-25A2-4FC7-B2A3-D0FF53B604CA}"/>
  </w:font>
  <w:font w:name="华文中宋">
    <w:panose1 w:val="02010600040101010101"/>
    <w:charset w:val="86"/>
    <w:family w:val="auto"/>
    <w:pitch w:val="default"/>
    <w:sig w:usb0="00000000" w:usb1="00000000" w:usb2="00000000" w:usb3="00000000" w:csb0="00000000" w:csb1="00000000"/>
    <w:embedRegular r:id="rId6" w:fontKey="{E20EC1AD-F80F-4CF8-A650-7292C2377E11}"/>
  </w:font>
  <w:font w:name="仿宋">
    <w:panose1 w:val="02010609060101010101"/>
    <w:charset w:val="86"/>
    <w:family w:val="modern"/>
    <w:pitch w:val="default"/>
    <w:sig w:usb0="800002BF" w:usb1="38CF7CFA" w:usb2="00000016" w:usb3="00000000" w:csb0="00040001" w:csb1="00000000"/>
    <w:embedRegular r:id="rId7" w:fontKey="{C1615A91-F055-485A-9EC4-D12BE9FB32CF}"/>
  </w:font>
  <w:font w:name="华文仿宋">
    <w:panose1 w:val="02010600040101010101"/>
    <w:charset w:val="86"/>
    <w:family w:val="auto"/>
    <w:pitch w:val="default"/>
    <w:sig w:usb0="00000000" w:usb1="00000000" w:usb2="00000000" w:usb3="00000000" w:csb0="00000000" w:csb1="00000000"/>
    <w:embedRegular r:id="rId8" w:fontKey="{F60BCEDE-C708-4A3C-B456-1BC9BB7489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17839208"/>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sdt>
                    <w:sdtPr>
                      <w:id w:val="-1017839208"/>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txbxContent>
              </v:textbox>
            </v:shape>
          </w:pict>
        </mc:Fallback>
      </mc:AlternateContent>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21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4"/>
                    </w:pP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TrueTypeFonts/>
  <w:saveSubsetFonts/>
  <w:bordersDoNotSurroundHeader w:val="1"/>
  <w:bordersDoNotSurroundFooter w:val="1"/>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NGYwM2FjOWQyMjFlOGExN2FmNDYxNjkyMjFlNzQifQ=="/>
    <w:docVar w:name="KGWebUrl" w:val="http://oa.hxamc.com/weaver/weaver.file.FileDownloadForNews?uuid=14c14a0b-03ae-4d54-a1e5-f643d08d6215&amp;fileid=139454&amp;type=document&amp;isofficeview=0"/>
    <w:docVar w:name="KSO_WPS_MARK_KEY" w:val="b07ed3d6-e0ac-4279-b3a0-b07b1f14fe1f"/>
  </w:docVars>
  <w:rsids>
    <w:rsidRoot w:val="6E8513F5"/>
    <w:rsid w:val="00011219"/>
    <w:rsid w:val="000273CC"/>
    <w:rsid w:val="000A1BF6"/>
    <w:rsid w:val="000E043B"/>
    <w:rsid w:val="0010401C"/>
    <w:rsid w:val="0011098C"/>
    <w:rsid w:val="00125861"/>
    <w:rsid w:val="001C5B93"/>
    <w:rsid w:val="001E5341"/>
    <w:rsid w:val="00200B17"/>
    <w:rsid w:val="00255835"/>
    <w:rsid w:val="00265073"/>
    <w:rsid w:val="002C16F5"/>
    <w:rsid w:val="004E2611"/>
    <w:rsid w:val="00503F6B"/>
    <w:rsid w:val="00510B7E"/>
    <w:rsid w:val="00577CA6"/>
    <w:rsid w:val="006275E2"/>
    <w:rsid w:val="00632ADD"/>
    <w:rsid w:val="00727D87"/>
    <w:rsid w:val="00942B50"/>
    <w:rsid w:val="00953D9C"/>
    <w:rsid w:val="009675EC"/>
    <w:rsid w:val="0097492C"/>
    <w:rsid w:val="009E7C7D"/>
    <w:rsid w:val="009F195F"/>
    <w:rsid w:val="00A363A5"/>
    <w:rsid w:val="00AA2445"/>
    <w:rsid w:val="00B73AF8"/>
    <w:rsid w:val="00BD5D54"/>
    <w:rsid w:val="00BE1BDB"/>
    <w:rsid w:val="00CF1D6C"/>
    <w:rsid w:val="00E90039"/>
    <w:rsid w:val="00EF7950"/>
    <w:rsid w:val="011A24F4"/>
    <w:rsid w:val="011E3478"/>
    <w:rsid w:val="0137758F"/>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633D2"/>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451806"/>
    <w:rsid w:val="056902D2"/>
    <w:rsid w:val="0571302A"/>
    <w:rsid w:val="05756DE3"/>
    <w:rsid w:val="057D69E2"/>
    <w:rsid w:val="05860247"/>
    <w:rsid w:val="05B1370D"/>
    <w:rsid w:val="05B60A3D"/>
    <w:rsid w:val="05CD36DC"/>
    <w:rsid w:val="061F0AE6"/>
    <w:rsid w:val="063127B9"/>
    <w:rsid w:val="06392055"/>
    <w:rsid w:val="064222D0"/>
    <w:rsid w:val="06500E91"/>
    <w:rsid w:val="06C5443F"/>
    <w:rsid w:val="06D15558"/>
    <w:rsid w:val="06DC2725"/>
    <w:rsid w:val="06E96A95"/>
    <w:rsid w:val="06FB7003"/>
    <w:rsid w:val="071B07B5"/>
    <w:rsid w:val="07212609"/>
    <w:rsid w:val="076D7821"/>
    <w:rsid w:val="079254DA"/>
    <w:rsid w:val="080923AB"/>
    <w:rsid w:val="081E4F5F"/>
    <w:rsid w:val="0882284B"/>
    <w:rsid w:val="08C92C2E"/>
    <w:rsid w:val="08D35DAA"/>
    <w:rsid w:val="08ED1EAA"/>
    <w:rsid w:val="09091E62"/>
    <w:rsid w:val="090F782C"/>
    <w:rsid w:val="092B42DC"/>
    <w:rsid w:val="093F333A"/>
    <w:rsid w:val="09694018"/>
    <w:rsid w:val="09715E3C"/>
    <w:rsid w:val="097737F5"/>
    <w:rsid w:val="098B7BB8"/>
    <w:rsid w:val="09A514F4"/>
    <w:rsid w:val="09A51D4C"/>
    <w:rsid w:val="09B352D3"/>
    <w:rsid w:val="09C20233"/>
    <w:rsid w:val="09D45935"/>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21F3E0E"/>
    <w:rsid w:val="123C43E8"/>
    <w:rsid w:val="125267B3"/>
    <w:rsid w:val="127952CC"/>
    <w:rsid w:val="12861ED5"/>
    <w:rsid w:val="12A329EB"/>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1711F"/>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C72B9B"/>
    <w:rsid w:val="16ED6288"/>
    <w:rsid w:val="16F82EC2"/>
    <w:rsid w:val="172577D0"/>
    <w:rsid w:val="172850DA"/>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9031D93"/>
    <w:rsid w:val="190F698A"/>
    <w:rsid w:val="193066BD"/>
    <w:rsid w:val="19474B83"/>
    <w:rsid w:val="195205A1"/>
    <w:rsid w:val="19925AEB"/>
    <w:rsid w:val="19AF29F7"/>
    <w:rsid w:val="19AF4536"/>
    <w:rsid w:val="19B6182A"/>
    <w:rsid w:val="19D35C0A"/>
    <w:rsid w:val="19EF24A3"/>
    <w:rsid w:val="1A2D0F9D"/>
    <w:rsid w:val="1A364C38"/>
    <w:rsid w:val="1A5A58B6"/>
    <w:rsid w:val="1A687CD6"/>
    <w:rsid w:val="1A8E48BD"/>
    <w:rsid w:val="1AF35C55"/>
    <w:rsid w:val="1B027E29"/>
    <w:rsid w:val="1B1E5B1F"/>
    <w:rsid w:val="1B456946"/>
    <w:rsid w:val="1B4F51DF"/>
    <w:rsid w:val="1B6D0ED3"/>
    <w:rsid w:val="1B7E1BA5"/>
    <w:rsid w:val="1B7F06C9"/>
    <w:rsid w:val="1BA86C22"/>
    <w:rsid w:val="1BC3660E"/>
    <w:rsid w:val="1C0F6816"/>
    <w:rsid w:val="1C3A159B"/>
    <w:rsid w:val="1C665534"/>
    <w:rsid w:val="1C7020CB"/>
    <w:rsid w:val="1C9E64F1"/>
    <w:rsid w:val="1CC93433"/>
    <w:rsid w:val="1CCE7468"/>
    <w:rsid w:val="1CD87093"/>
    <w:rsid w:val="1D0450E2"/>
    <w:rsid w:val="1D185B91"/>
    <w:rsid w:val="1D1C3424"/>
    <w:rsid w:val="1D270E4C"/>
    <w:rsid w:val="1D497F91"/>
    <w:rsid w:val="1D4F5CE8"/>
    <w:rsid w:val="1D6E4A05"/>
    <w:rsid w:val="1D743260"/>
    <w:rsid w:val="1DA227A9"/>
    <w:rsid w:val="1DBF79E1"/>
    <w:rsid w:val="1DFB128B"/>
    <w:rsid w:val="1E256308"/>
    <w:rsid w:val="1E3F4B15"/>
    <w:rsid w:val="1E40188A"/>
    <w:rsid w:val="1E6F3A27"/>
    <w:rsid w:val="1E763AC1"/>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22E3E55"/>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AE1AE2"/>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90A48"/>
    <w:rsid w:val="280A513D"/>
    <w:rsid w:val="281100FE"/>
    <w:rsid w:val="28215C13"/>
    <w:rsid w:val="283346EC"/>
    <w:rsid w:val="287A2A85"/>
    <w:rsid w:val="2886653D"/>
    <w:rsid w:val="28956780"/>
    <w:rsid w:val="28A54C15"/>
    <w:rsid w:val="28B342EE"/>
    <w:rsid w:val="28CD7CC8"/>
    <w:rsid w:val="28E26544"/>
    <w:rsid w:val="28F2772E"/>
    <w:rsid w:val="28F416F8"/>
    <w:rsid w:val="290E4B79"/>
    <w:rsid w:val="2916341D"/>
    <w:rsid w:val="292956A6"/>
    <w:rsid w:val="29424212"/>
    <w:rsid w:val="294C3CAC"/>
    <w:rsid w:val="29733D0B"/>
    <w:rsid w:val="29855014"/>
    <w:rsid w:val="29D054FB"/>
    <w:rsid w:val="29F71279"/>
    <w:rsid w:val="2A07200A"/>
    <w:rsid w:val="2A105969"/>
    <w:rsid w:val="2A107348"/>
    <w:rsid w:val="2A877F46"/>
    <w:rsid w:val="2AA0743E"/>
    <w:rsid w:val="2AAE2211"/>
    <w:rsid w:val="2ABD2874"/>
    <w:rsid w:val="2ACE06A4"/>
    <w:rsid w:val="2AE15CAC"/>
    <w:rsid w:val="2B213A70"/>
    <w:rsid w:val="2B295022"/>
    <w:rsid w:val="2B3D7387"/>
    <w:rsid w:val="2B5B780D"/>
    <w:rsid w:val="2B74267D"/>
    <w:rsid w:val="2B7B4B38"/>
    <w:rsid w:val="2BC01D66"/>
    <w:rsid w:val="2C1A1476"/>
    <w:rsid w:val="2C2E0A7D"/>
    <w:rsid w:val="2C364F00"/>
    <w:rsid w:val="2C506C46"/>
    <w:rsid w:val="2C5E4001"/>
    <w:rsid w:val="2CA12B77"/>
    <w:rsid w:val="2CC74E5B"/>
    <w:rsid w:val="2CE57AC3"/>
    <w:rsid w:val="2CE85495"/>
    <w:rsid w:val="2CED6B8B"/>
    <w:rsid w:val="2CF577ED"/>
    <w:rsid w:val="2D046F57"/>
    <w:rsid w:val="2D3175C6"/>
    <w:rsid w:val="2D355E3C"/>
    <w:rsid w:val="2D4A7B39"/>
    <w:rsid w:val="2D57250A"/>
    <w:rsid w:val="2D7245D7"/>
    <w:rsid w:val="2DC07DFB"/>
    <w:rsid w:val="2DF83A39"/>
    <w:rsid w:val="2DFA2441"/>
    <w:rsid w:val="2DFD4BAB"/>
    <w:rsid w:val="2E0F73E1"/>
    <w:rsid w:val="2E1169DA"/>
    <w:rsid w:val="2E1563DF"/>
    <w:rsid w:val="2E2A34C6"/>
    <w:rsid w:val="2E3F51C4"/>
    <w:rsid w:val="2E463EBE"/>
    <w:rsid w:val="2E4A0987"/>
    <w:rsid w:val="2EBE2687"/>
    <w:rsid w:val="2F08082A"/>
    <w:rsid w:val="2F104226"/>
    <w:rsid w:val="2F236894"/>
    <w:rsid w:val="2F350A84"/>
    <w:rsid w:val="2F454D87"/>
    <w:rsid w:val="2F464330"/>
    <w:rsid w:val="2F4B7B98"/>
    <w:rsid w:val="2F561FC3"/>
    <w:rsid w:val="2F68200A"/>
    <w:rsid w:val="2F6D396B"/>
    <w:rsid w:val="2F731EE4"/>
    <w:rsid w:val="2F760342"/>
    <w:rsid w:val="2F827A5E"/>
    <w:rsid w:val="2FB120F1"/>
    <w:rsid w:val="2FC9403D"/>
    <w:rsid w:val="2FD732E5"/>
    <w:rsid w:val="2FDB474A"/>
    <w:rsid w:val="2FF206FB"/>
    <w:rsid w:val="30313232"/>
    <w:rsid w:val="30890DB9"/>
    <w:rsid w:val="309F1F4A"/>
    <w:rsid w:val="30BE19CB"/>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12F3E"/>
    <w:rsid w:val="35CD57AB"/>
    <w:rsid w:val="35EE06C2"/>
    <w:rsid w:val="35FC6420"/>
    <w:rsid w:val="366D7CE1"/>
    <w:rsid w:val="369752F7"/>
    <w:rsid w:val="36BD11F9"/>
    <w:rsid w:val="36E0307B"/>
    <w:rsid w:val="371B60A2"/>
    <w:rsid w:val="37495343"/>
    <w:rsid w:val="37515F68"/>
    <w:rsid w:val="37647A49"/>
    <w:rsid w:val="37712AB1"/>
    <w:rsid w:val="378431AA"/>
    <w:rsid w:val="37A91900"/>
    <w:rsid w:val="37EA0AA2"/>
    <w:rsid w:val="381B740D"/>
    <w:rsid w:val="382014AF"/>
    <w:rsid w:val="388C54AA"/>
    <w:rsid w:val="38DE5291"/>
    <w:rsid w:val="3916393F"/>
    <w:rsid w:val="3926472A"/>
    <w:rsid w:val="394B239C"/>
    <w:rsid w:val="396226AE"/>
    <w:rsid w:val="397E1BE3"/>
    <w:rsid w:val="39924D42"/>
    <w:rsid w:val="399F56D1"/>
    <w:rsid w:val="39D63004"/>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8907CC"/>
    <w:rsid w:val="3B9A612F"/>
    <w:rsid w:val="3B9E4539"/>
    <w:rsid w:val="3BBE3383"/>
    <w:rsid w:val="3BC203D3"/>
    <w:rsid w:val="3BC23901"/>
    <w:rsid w:val="3C487939"/>
    <w:rsid w:val="3C557E98"/>
    <w:rsid w:val="3C5C1637"/>
    <w:rsid w:val="3C821171"/>
    <w:rsid w:val="3C8446EA"/>
    <w:rsid w:val="3C85293C"/>
    <w:rsid w:val="3CB13731"/>
    <w:rsid w:val="3CDD2778"/>
    <w:rsid w:val="3D271C45"/>
    <w:rsid w:val="3D38730A"/>
    <w:rsid w:val="3D597C3B"/>
    <w:rsid w:val="3D755B93"/>
    <w:rsid w:val="3D7A72BF"/>
    <w:rsid w:val="3D7D3613"/>
    <w:rsid w:val="3E0022E3"/>
    <w:rsid w:val="3E143AEF"/>
    <w:rsid w:val="3E216694"/>
    <w:rsid w:val="3E442280"/>
    <w:rsid w:val="3E500B4C"/>
    <w:rsid w:val="3E8E7387"/>
    <w:rsid w:val="3E94330A"/>
    <w:rsid w:val="3EB44480"/>
    <w:rsid w:val="3EEF088A"/>
    <w:rsid w:val="3EF9316D"/>
    <w:rsid w:val="3EFA5515"/>
    <w:rsid w:val="3F035D9A"/>
    <w:rsid w:val="3F1B5F44"/>
    <w:rsid w:val="3F1F5DA0"/>
    <w:rsid w:val="3F3601F1"/>
    <w:rsid w:val="3F50359F"/>
    <w:rsid w:val="3F80388E"/>
    <w:rsid w:val="3F8D373A"/>
    <w:rsid w:val="3F8F5A05"/>
    <w:rsid w:val="3FD17C46"/>
    <w:rsid w:val="3FF54B72"/>
    <w:rsid w:val="40073668"/>
    <w:rsid w:val="402B1C7A"/>
    <w:rsid w:val="40363F4D"/>
    <w:rsid w:val="408E0B98"/>
    <w:rsid w:val="409B598F"/>
    <w:rsid w:val="40A350A0"/>
    <w:rsid w:val="40F2750E"/>
    <w:rsid w:val="41250249"/>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3A1BBF"/>
    <w:rsid w:val="43497172"/>
    <w:rsid w:val="434B6EF0"/>
    <w:rsid w:val="43C83EB2"/>
    <w:rsid w:val="43FE2FD4"/>
    <w:rsid w:val="445B2CE2"/>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226FD9"/>
    <w:rsid w:val="47472F21"/>
    <w:rsid w:val="475C698F"/>
    <w:rsid w:val="479A77C1"/>
    <w:rsid w:val="47AD2F03"/>
    <w:rsid w:val="47B24BA1"/>
    <w:rsid w:val="47E55BC7"/>
    <w:rsid w:val="47FB2774"/>
    <w:rsid w:val="47FE634A"/>
    <w:rsid w:val="4836117E"/>
    <w:rsid w:val="483D34D7"/>
    <w:rsid w:val="484F781F"/>
    <w:rsid w:val="486A50DB"/>
    <w:rsid w:val="487230E1"/>
    <w:rsid w:val="488D7A30"/>
    <w:rsid w:val="48A71838"/>
    <w:rsid w:val="490B41C9"/>
    <w:rsid w:val="49282FCC"/>
    <w:rsid w:val="494A0AAA"/>
    <w:rsid w:val="496E51FF"/>
    <w:rsid w:val="4970077D"/>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32993"/>
    <w:rsid w:val="4B897627"/>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2C7509"/>
    <w:rsid w:val="4F566175"/>
    <w:rsid w:val="4F635353"/>
    <w:rsid w:val="4F897338"/>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55968"/>
    <w:rsid w:val="544B7B6A"/>
    <w:rsid w:val="547E5CF2"/>
    <w:rsid w:val="549D01C5"/>
    <w:rsid w:val="54A0435F"/>
    <w:rsid w:val="54A60154"/>
    <w:rsid w:val="54F40D0A"/>
    <w:rsid w:val="55382BA4"/>
    <w:rsid w:val="5593065D"/>
    <w:rsid w:val="55BE4C30"/>
    <w:rsid w:val="55D7555A"/>
    <w:rsid w:val="55E0078B"/>
    <w:rsid w:val="560324CA"/>
    <w:rsid w:val="563A7E9B"/>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96C7314"/>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C204A5"/>
    <w:rsid w:val="5CF3349A"/>
    <w:rsid w:val="5D041624"/>
    <w:rsid w:val="5D0C00B7"/>
    <w:rsid w:val="5D3545F3"/>
    <w:rsid w:val="5D495005"/>
    <w:rsid w:val="5D901546"/>
    <w:rsid w:val="5D916C44"/>
    <w:rsid w:val="5D9A471F"/>
    <w:rsid w:val="5DD47E86"/>
    <w:rsid w:val="5DE56DB4"/>
    <w:rsid w:val="5E1D1AE9"/>
    <w:rsid w:val="5E850121"/>
    <w:rsid w:val="5E9D6065"/>
    <w:rsid w:val="5EED299C"/>
    <w:rsid w:val="5EFE0303"/>
    <w:rsid w:val="5F114560"/>
    <w:rsid w:val="5F52528A"/>
    <w:rsid w:val="5F747934"/>
    <w:rsid w:val="5F872946"/>
    <w:rsid w:val="5F933F51"/>
    <w:rsid w:val="5FEC48FC"/>
    <w:rsid w:val="601654D5"/>
    <w:rsid w:val="60261490"/>
    <w:rsid w:val="603658A5"/>
    <w:rsid w:val="60A62FEE"/>
    <w:rsid w:val="60AA5873"/>
    <w:rsid w:val="60AC4BD0"/>
    <w:rsid w:val="615564D1"/>
    <w:rsid w:val="61565DA5"/>
    <w:rsid w:val="61601A54"/>
    <w:rsid w:val="617D322B"/>
    <w:rsid w:val="61B72597"/>
    <w:rsid w:val="61D770D4"/>
    <w:rsid w:val="61DE0EB4"/>
    <w:rsid w:val="62154B16"/>
    <w:rsid w:val="62324A13"/>
    <w:rsid w:val="6256327E"/>
    <w:rsid w:val="62F31AFE"/>
    <w:rsid w:val="6320666B"/>
    <w:rsid w:val="6323442F"/>
    <w:rsid w:val="63471E49"/>
    <w:rsid w:val="634F4151"/>
    <w:rsid w:val="635C3533"/>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647071F"/>
    <w:rsid w:val="664E34EF"/>
    <w:rsid w:val="66822308"/>
    <w:rsid w:val="66C73B2F"/>
    <w:rsid w:val="67027FFB"/>
    <w:rsid w:val="670A5668"/>
    <w:rsid w:val="671F0122"/>
    <w:rsid w:val="67720763"/>
    <w:rsid w:val="677A27ED"/>
    <w:rsid w:val="6799749C"/>
    <w:rsid w:val="67BD6B7E"/>
    <w:rsid w:val="67E51DC5"/>
    <w:rsid w:val="680D70EE"/>
    <w:rsid w:val="68362271"/>
    <w:rsid w:val="68541290"/>
    <w:rsid w:val="6867713B"/>
    <w:rsid w:val="68695DE6"/>
    <w:rsid w:val="68816331"/>
    <w:rsid w:val="68BA0AEE"/>
    <w:rsid w:val="68BB3DB9"/>
    <w:rsid w:val="68ED02CC"/>
    <w:rsid w:val="68F55EA4"/>
    <w:rsid w:val="69110F2F"/>
    <w:rsid w:val="69623539"/>
    <w:rsid w:val="696C1C50"/>
    <w:rsid w:val="69763488"/>
    <w:rsid w:val="69782D5D"/>
    <w:rsid w:val="69955386"/>
    <w:rsid w:val="69E44896"/>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0F044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9A01E8"/>
    <w:rsid w:val="72E64B19"/>
    <w:rsid w:val="72E72D01"/>
    <w:rsid w:val="73274D6C"/>
    <w:rsid w:val="7344188A"/>
    <w:rsid w:val="734750AB"/>
    <w:rsid w:val="736305DA"/>
    <w:rsid w:val="73E41D0B"/>
    <w:rsid w:val="73F7090D"/>
    <w:rsid w:val="73F90F3E"/>
    <w:rsid w:val="741C570D"/>
    <w:rsid w:val="743133E3"/>
    <w:rsid w:val="744D3038"/>
    <w:rsid w:val="747F2F2B"/>
    <w:rsid w:val="74C01A5C"/>
    <w:rsid w:val="74C13209"/>
    <w:rsid w:val="74F51705"/>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47750"/>
    <w:rsid w:val="770C0F88"/>
    <w:rsid w:val="771E25CC"/>
    <w:rsid w:val="77224B21"/>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726893"/>
    <w:rsid w:val="79986B03"/>
    <w:rsid w:val="79E021C9"/>
    <w:rsid w:val="79F95FFE"/>
    <w:rsid w:val="7A230AC3"/>
    <w:rsid w:val="7A434224"/>
    <w:rsid w:val="7A6631DA"/>
    <w:rsid w:val="7A8422E1"/>
    <w:rsid w:val="7A8F6158"/>
    <w:rsid w:val="7A9E283F"/>
    <w:rsid w:val="7AA95899"/>
    <w:rsid w:val="7ACA62D6"/>
    <w:rsid w:val="7B32464C"/>
    <w:rsid w:val="7B3311D9"/>
    <w:rsid w:val="7B38603E"/>
    <w:rsid w:val="7B547F32"/>
    <w:rsid w:val="7BB034F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43641"/>
    <w:rsid w:val="7E5535E0"/>
    <w:rsid w:val="7E7347A5"/>
    <w:rsid w:val="7E8F3752"/>
    <w:rsid w:val="7E9C0FCE"/>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微软雅黑"/>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Body Text First Indent 2"/>
    <w:basedOn w:val="8"/>
    <w:next w:val="6"/>
    <w:qFormat/>
    <w:uiPriority w:val="0"/>
    <w:pPr>
      <w:ind w:firstLine="420" w:firstLineChars="200"/>
    </w:pPr>
    <w:rPr>
      <w:rFonts w:ascii="宋体"/>
      <w:kern w:val="0"/>
      <w:sz w:val="20"/>
    </w:rPr>
  </w:style>
  <w:style w:type="paragraph" w:styleId="16">
    <w:name w:val="toc 2"/>
    <w:basedOn w:val="1"/>
    <w:next w:val="1"/>
    <w:qFormat/>
    <w:uiPriority w:val="0"/>
    <w:pPr>
      <w:ind w:left="420" w:leftChars="200"/>
    </w:pPr>
  </w:style>
  <w:style w:type="paragraph" w:styleId="17">
    <w:name w:val="Normal (Web)"/>
    <w:basedOn w:val="1"/>
    <w:qFormat/>
    <w:uiPriority w:val="0"/>
    <w:pPr>
      <w:spacing w:beforeAutospacing="1" w:afterAutospacing="1"/>
      <w:jc w:val="left"/>
    </w:pPr>
    <w:rPr>
      <w:kern w:val="0"/>
      <w:sz w:val="24"/>
    </w:rPr>
  </w:style>
  <w:style w:type="character" w:styleId="19">
    <w:name w:val="Strong"/>
    <w:qFormat/>
    <w:uiPriority w:val="0"/>
    <w:rPr>
      <w:b/>
      <w:bCs/>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18"/>
    <w:qFormat/>
    <w:uiPriority w:val="0"/>
    <w:rPr>
      <w:rFonts w:hint="eastAsia" w:ascii="宋体" w:hAnsi="宋体" w:eastAsia="宋体" w:cs="宋体"/>
      <w:color w:val="000000"/>
      <w:sz w:val="28"/>
      <w:szCs w:val="28"/>
      <w:u w:val="none"/>
      <w:vertAlign w:val="superscript"/>
    </w:rPr>
  </w:style>
  <w:style w:type="character" w:customStyle="1" w:styleId="26">
    <w:name w:val="font61"/>
    <w:basedOn w:val="18"/>
    <w:qFormat/>
    <w:uiPriority w:val="0"/>
    <w:rPr>
      <w:rFonts w:hint="eastAsia" w:ascii="宋体" w:hAnsi="宋体" w:eastAsia="宋体" w:cs="宋体"/>
      <w:color w:val="000000"/>
      <w:sz w:val="28"/>
      <w:szCs w:val="28"/>
      <w:u w:val="none"/>
      <w:vertAlign w:val="superscript"/>
    </w:rPr>
  </w:style>
  <w:style w:type="character" w:customStyle="1" w:styleId="27">
    <w:name w:val="font01"/>
    <w:basedOn w:val="18"/>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Layout w:type="fixed"/>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18"/>
    <w:qFormat/>
    <w:uiPriority w:val="0"/>
    <w:rPr>
      <w:rFonts w:hint="eastAsia" w:ascii="宋体" w:hAnsi="宋体" w:eastAsia="宋体" w:cs="宋体"/>
      <w:color w:val="000000"/>
      <w:sz w:val="24"/>
      <w:szCs w:val="24"/>
      <w:u w:val="none"/>
    </w:rPr>
  </w:style>
  <w:style w:type="character" w:customStyle="1" w:styleId="36">
    <w:name w:val="font41"/>
    <w:basedOn w:val="18"/>
    <w:qFormat/>
    <w:uiPriority w:val="0"/>
    <w:rPr>
      <w:rFonts w:hint="default" w:ascii="Calibri" w:hAnsi="Calibri" w:cs="Calibri"/>
      <w:color w:val="000000"/>
      <w:sz w:val="24"/>
      <w:szCs w:val="24"/>
      <w:u w:val="none"/>
    </w:rPr>
  </w:style>
  <w:style w:type="character" w:customStyle="1" w:styleId="37">
    <w:name w:val="批注框文本 字符"/>
    <w:basedOn w:val="18"/>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9784</Words>
  <Characters>10775</Characters>
  <Lines>19</Lines>
  <Paragraphs>25</Paragraphs>
  <TotalTime>5</TotalTime>
  <ScaleCrop>false</ScaleCrop>
  <LinksUpToDate>false</LinksUpToDate>
  <CharactersWithSpaces>11348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2025-03-31T03:34:00Z</dcterms:created>
  <dc:creator>Administrator</dc:creator>
  <cp:lastModifiedBy>Administrator</cp:lastModifiedBy>
  <cp:lastPrinted>2024-12-13T02:38:00Z</cp:lastPrinted>
  <dcterms:modified xsi:type="dcterms:W3CDTF">2025-04-07T02:37:28Z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ICV">
    <vt:lpwstr>79DC13FA131E435D8820C5944119B996</vt:lpwstr>
  </property>
  <property fmtid="{D5CDD505-2E9C-101B-9397-08002B2CF9AE}" pid="4" name="KSOTemplateDocerSaveRecord">
    <vt:lpwstr>eyJoZGlkIjoiZWE0ODBiM2M1MjhjYmQ1ZDFiNWRmZWRkYmZiNzFkODciLCJ1c2VySWQiOiIyNjI5NTYyMTEifQ==</vt:lpwstr>
  </property>
</Properties>
</file>